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14D" w:rsidRPr="00713400" w:rsidRDefault="008C272D" w:rsidP="0003514D">
      <w:pPr>
        <w:widowControl w:val="0"/>
        <w:shd w:val="clear" w:color="auto" w:fill="C6D9F1" w:themeFill="text2" w:themeFillTint="33"/>
        <w:suppressAutoHyphens/>
        <w:spacing w:line="200" w:lineRule="exact"/>
        <w:rPr>
          <w:rFonts w:eastAsia="Calibri"/>
          <w:sz w:val="20"/>
          <w:szCs w:val="20"/>
        </w:rPr>
      </w:pPr>
      <w:r w:rsidRPr="008C272D">
        <w:fldChar w:fldCharType="begin"/>
      </w:r>
      <w:r w:rsidR="00E42699">
        <w:instrText xml:space="preserve"> HYPERLINK \l "_bookmark64" </w:instrText>
      </w:r>
      <w:r w:rsidRPr="008C272D">
        <w:fldChar w:fldCharType="separate"/>
      </w:r>
      <w:r w:rsidR="0003514D" w:rsidRPr="002424B4">
        <w:rPr>
          <w:rFonts w:eastAsia="Calibri"/>
          <w:b/>
          <w:bCs/>
        </w:rPr>
        <w:t>C</w:t>
      </w:r>
      <w:r>
        <w:rPr>
          <w:rFonts w:eastAsia="Calibri"/>
          <w:b/>
          <w:bCs/>
        </w:rPr>
        <w:fldChar w:fldCharType="end"/>
      </w:r>
      <w:r w:rsidR="0003514D" w:rsidRPr="002424B4">
        <w:rPr>
          <w:rFonts w:eastAsia="Calibri"/>
          <w:b/>
          <w:bCs/>
        </w:rPr>
        <w:t>.</w:t>
      </w:r>
      <w:r w:rsidR="0003514D" w:rsidRPr="002424B4">
        <w:rPr>
          <w:rFonts w:eastAsia="Calibri"/>
          <w:b/>
          <w:bCs/>
          <w:spacing w:val="8"/>
        </w:rPr>
        <w:t xml:space="preserve"> </w:t>
      </w:r>
      <w:hyperlink w:anchor="_bookmark64" w:history="1">
        <w:r w:rsidR="0003514D" w:rsidRPr="002424B4">
          <w:rPr>
            <w:rFonts w:eastAsia="Calibri"/>
            <w:b/>
            <w:bCs/>
            <w:spacing w:val="-2"/>
          </w:rPr>
          <w:t>O</w:t>
        </w:r>
        <w:r w:rsidR="0003514D" w:rsidRPr="002424B4">
          <w:rPr>
            <w:rFonts w:eastAsia="Calibri"/>
            <w:b/>
            <w:bCs/>
          </w:rPr>
          <w:t>BCHODNÉ</w:t>
        </w:r>
        <w:r w:rsidR="0003514D" w:rsidRPr="002424B4">
          <w:rPr>
            <w:rFonts w:eastAsia="Calibri"/>
            <w:b/>
            <w:bCs/>
            <w:spacing w:val="11"/>
          </w:rPr>
          <w:t xml:space="preserve"> </w:t>
        </w:r>
        <w:r w:rsidR="0003514D" w:rsidRPr="002424B4">
          <w:rPr>
            <w:rFonts w:eastAsia="Calibri"/>
            <w:b/>
            <w:bCs/>
          </w:rPr>
          <w:t>A ZM</w:t>
        </w:r>
        <w:r w:rsidR="0003514D" w:rsidRPr="002424B4">
          <w:rPr>
            <w:rFonts w:eastAsia="Calibri"/>
            <w:b/>
            <w:bCs/>
            <w:spacing w:val="-2"/>
          </w:rPr>
          <w:t>L</w:t>
        </w:r>
        <w:r w:rsidR="0003514D" w:rsidRPr="002424B4">
          <w:rPr>
            <w:rFonts w:eastAsia="Calibri"/>
            <w:b/>
            <w:bCs/>
          </w:rPr>
          <w:t>U</w:t>
        </w:r>
        <w:r w:rsidR="0003514D" w:rsidRPr="002424B4">
          <w:rPr>
            <w:rFonts w:eastAsia="Calibri"/>
            <w:b/>
            <w:bCs/>
            <w:spacing w:val="-1"/>
          </w:rPr>
          <w:t>V</w:t>
        </w:r>
        <w:r w:rsidR="0003514D" w:rsidRPr="002424B4">
          <w:rPr>
            <w:rFonts w:eastAsia="Calibri"/>
            <w:b/>
            <w:bCs/>
          </w:rPr>
          <w:t>NÉ</w:t>
        </w:r>
        <w:r w:rsidR="0003514D" w:rsidRPr="002424B4">
          <w:rPr>
            <w:rFonts w:eastAsia="Calibri"/>
            <w:b/>
            <w:bCs/>
            <w:spacing w:val="8"/>
          </w:rPr>
          <w:t xml:space="preserve"> </w:t>
        </w:r>
        <w:r w:rsidR="0003514D" w:rsidRPr="002424B4">
          <w:rPr>
            <w:rFonts w:eastAsia="Calibri"/>
            <w:b/>
            <w:bCs/>
          </w:rPr>
          <w:t>PODMIENKY</w:t>
        </w:r>
        <w:r w:rsidR="0003514D" w:rsidRPr="002424B4">
          <w:rPr>
            <w:rFonts w:eastAsia="Calibri"/>
            <w:b/>
            <w:bCs/>
            <w:spacing w:val="10"/>
          </w:rPr>
          <w:t xml:space="preserve"> </w:t>
        </w:r>
        <w:r w:rsidR="0003514D" w:rsidRPr="002424B4">
          <w:rPr>
            <w:rFonts w:eastAsia="Calibri"/>
            <w:b/>
            <w:bCs/>
          </w:rPr>
          <w:t>P</w:t>
        </w:r>
        <w:r w:rsidR="0003514D" w:rsidRPr="002424B4">
          <w:rPr>
            <w:rFonts w:eastAsia="Calibri"/>
            <w:b/>
            <w:bCs/>
            <w:spacing w:val="-2"/>
          </w:rPr>
          <w:t>R</w:t>
        </w:r>
        <w:r w:rsidR="0003514D" w:rsidRPr="002424B4">
          <w:rPr>
            <w:rFonts w:eastAsia="Calibri"/>
            <w:b/>
            <w:bCs/>
          </w:rPr>
          <w:t>EDMETU</w:t>
        </w:r>
        <w:r w:rsidR="0003514D" w:rsidRPr="002424B4">
          <w:rPr>
            <w:rFonts w:eastAsia="Calibri"/>
            <w:b/>
            <w:bCs/>
            <w:spacing w:val="7"/>
          </w:rPr>
          <w:t xml:space="preserve"> </w:t>
        </w:r>
        <w:r w:rsidR="0003514D" w:rsidRPr="002424B4">
          <w:rPr>
            <w:rFonts w:eastAsia="Calibri"/>
            <w:b/>
            <w:bCs/>
          </w:rPr>
          <w:t>Z</w:t>
        </w:r>
        <w:r w:rsidR="0003514D" w:rsidRPr="002424B4">
          <w:rPr>
            <w:rFonts w:eastAsia="Calibri"/>
            <w:b/>
            <w:bCs/>
            <w:spacing w:val="1"/>
          </w:rPr>
          <w:t>Á</w:t>
        </w:r>
        <w:r w:rsidR="0003514D" w:rsidRPr="002424B4">
          <w:rPr>
            <w:rFonts w:eastAsia="Calibri"/>
            <w:b/>
            <w:bCs/>
            <w:spacing w:val="-2"/>
          </w:rPr>
          <w:t>K</w:t>
        </w:r>
        <w:r w:rsidR="0003514D" w:rsidRPr="002424B4">
          <w:rPr>
            <w:rFonts w:eastAsia="Calibri"/>
            <w:b/>
            <w:bCs/>
          </w:rPr>
          <w:t>AZKY</w:t>
        </w:r>
      </w:hyperlink>
    </w:p>
    <w:p w:rsidR="0003514D" w:rsidRDefault="0003514D" w:rsidP="0003514D">
      <w:pPr>
        <w:pStyle w:val="Zkladntext"/>
        <w:suppressAutoHyphens/>
        <w:spacing w:line="247" w:lineRule="exact"/>
      </w:pPr>
    </w:p>
    <w:p w:rsidR="0003514D" w:rsidRDefault="008C272D" w:rsidP="0003514D">
      <w:pPr>
        <w:pStyle w:val="Zkladntext"/>
        <w:shd w:val="clear" w:color="auto" w:fill="C6D9F1" w:themeFill="text2" w:themeFillTint="33"/>
        <w:suppressAutoHyphens/>
        <w:spacing w:line="247" w:lineRule="exact"/>
      </w:pPr>
      <w:hyperlink w:anchor="_bookmark64" w:history="1">
        <w:r w:rsidR="0003514D" w:rsidRPr="002424B4">
          <w:rPr>
            <w:rFonts w:eastAsia="Calibri"/>
            <w:b/>
            <w:bCs/>
          </w:rPr>
          <w:t>C</w:t>
        </w:r>
      </w:hyperlink>
      <w:r w:rsidR="0003514D">
        <w:rPr>
          <w:rFonts w:eastAsia="Calibri"/>
          <w:b/>
          <w:bCs/>
        </w:rPr>
        <w:t>.4.</w:t>
      </w:r>
      <w:r w:rsidR="0003514D" w:rsidRPr="002424B4">
        <w:rPr>
          <w:rFonts w:eastAsia="Calibri"/>
          <w:b/>
          <w:bCs/>
          <w:spacing w:val="8"/>
        </w:rPr>
        <w:t xml:space="preserve"> </w:t>
      </w:r>
      <w:r w:rsidR="0003514D" w:rsidRPr="002424B4">
        <w:rPr>
          <w:rFonts w:eastAsia="Calibri"/>
          <w:b/>
          <w:bCs/>
          <w:spacing w:val="-2"/>
        </w:rPr>
        <w:t xml:space="preserve">Návrh Rámcovej dohody </w:t>
      </w:r>
      <w:r w:rsidR="0003514D" w:rsidRPr="002424B4">
        <w:rPr>
          <w:rFonts w:eastAsia="Calibri"/>
          <w:b/>
          <w:bCs/>
          <w:i/>
          <w:spacing w:val="-2"/>
        </w:rPr>
        <w:t xml:space="preserve">pre časť </w:t>
      </w:r>
      <w:r w:rsidR="00D414E0">
        <w:rPr>
          <w:rFonts w:eastAsia="Calibri"/>
          <w:b/>
          <w:bCs/>
          <w:i/>
          <w:spacing w:val="-2"/>
        </w:rPr>
        <w:t>I</w:t>
      </w:r>
      <w:r w:rsidR="0003514D">
        <w:rPr>
          <w:rFonts w:eastAsia="Calibri"/>
          <w:b/>
          <w:bCs/>
          <w:i/>
          <w:spacing w:val="-2"/>
        </w:rPr>
        <w:t>V</w:t>
      </w:r>
      <w:r w:rsidR="0003514D" w:rsidRPr="002424B4">
        <w:rPr>
          <w:rFonts w:eastAsia="Calibri"/>
          <w:b/>
          <w:bCs/>
          <w:i/>
          <w:spacing w:val="-2"/>
        </w:rPr>
        <w:t>.</w:t>
      </w:r>
    </w:p>
    <w:p w:rsidR="00413BFF" w:rsidRPr="00713400" w:rsidRDefault="00413BFF" w:rsidP="00413BFF">
      <w:pPr>
        <w:widowControl w:val="0"/>
        <w:suppressAutoHyphens/>
        <w:spacing w:line="200" w:lineRule="exact"/>
        <w:rPr>
          <w:rFonts w:eastAsia="Calibri"/>
          <w:sz w:val="20"/>
          <w:szCs w:val="20"/>
        </w:rPr>
      </w:pPr>
    </w:p>
    <w:p w:rsidR="00413BFF" w:rsidRPr="00713400" w:rsidRDefault="00413BFF" w:rsidP="00413BFF">
      <w:pPr>
        <w:pStyle w:val="Zkladntext"/>
        <w:suppressAutoHyphens/>
        <w:spacing w:line="247" w:lineRule="exact"/>
        <w:jc w:val="both"/>
      </w:pPr>
      <w:r w:rsidRPr="00713400">
        <w:t>Po</w:t>
      </w:r>
      <w:r>
        <w:t>vinne zmluvné poistenie zodpovednosti za škodu spôsobenú v súvislosti s poskytovaním zdravotnej starostlivosti pre nemocnice v zriaďovateľskej pôsobnosti Trenčianskeho samosprávneho kraja - Nemocnicu s poliklinikou Prievidza so sídlom v Bojniciach, Nemocnicu s poliklinikou Myjava, Nemocnicu s poliklinikou Považská Bystrica</w:t>
      </w:r>
      <w:r w:rsidRPr="00713400">
        <w:rPr>
          <w:spacing w:val="-2"/>
        </w:rPr>
        <w:t xml:space="preserve"> </w:t>
      </w:r>
      <w:r w:rsidRPr="00713400">
        <w:t xml:space="preserve">na </w:t>
      </w:r>
      <w:r w:rsidR="00254283">
        <w:rPr>
          <w:spacing w:val="-2"/>
        </w:rPr>
        <w:t xml:space="preserve">roky </w:t>
      </w:r>
      <w:r>
        <w:rPr>
          <w:spacing w:val="-2"/>
        </w:rPr>
        <w:t xml:space="preserve">2019 </w:t>
      </w:r>
      <w:r w:rsidR="00254283">
        <w:rPr>
          <w:spacing w:val="-2"/>
        </w:rPr>
        <w:t xml:space="preserve">- </w:t>
      </w:r>
      <w:r>
        <w:rPr>
          <w:spacing w:val="-2"/>
        </w:rPr>
        <w:t>2022</w:t>
      </w:r>
      <w:r w:rsidRPr="00713400">
        <w:t>.</w:t>
      </w: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8C272D" w:rsidP="00413BFF">
      <w:pPr>
        <w:widowControl w:val="0"/>
        <w:suppressAutoHyphens/>
        <w:spacing w:before="72"/>
        <w:ind w:left="3261" w:right="3820"/>
        <w:jc w:val="center"/>
        <w:outlineLvl w:val="1"/>
      </w:pPr>
      <w:r w:rsidRPr="008C272D">
        <w:rPr>
          <w:b/>
          <w:bCs/>
          <w:noProof/>
        </w:rPr>
        <w:pict>
          <v:group id="Group 96" o:spid="_x0000_s1030" style="position:absolute;left:0;text-align:left;margin-left:69.5pt;margin-top:-28.15pt;width:456.45pt;height:.1pt;z-index:-251656192;mso-position-horizontal-relative:page" coordorigin="1390,-563" coordsize="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">
            <v:shape id="Freeform 97" o:spid="_x0000_s1031" style="position:absolute;left:1390;top:-563;width:9129;height:2;visibility:visible;mso-wrap-style:square;v-text-anchor:top" coordsize="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s3Pr8A&#10;AADcAAAADwAAAGRycy9kb3ducmV2LnhtbERPy6rCMBDdX/Afwgjurml9IdUoKgju5Kqgy6GZPrCZ&#10;lCZq+/dGuOBuDuc5y3VrKvGkxpWWFcTDCARxanXJuYLLef87B+E8ssbKMinoyMF61ftZYqLti//o&#10;efK5CCHsElRQeF8nUrq0IINuaGviwGW2MegDbHKpG3yFcFPJURTNpMGSQ0OBNe0KSu+nh1Fw3HbX&#10;8SiW9/g2nmZlRt1x3+2UGvTbzQKEp9Z/xf/ugw7zowl8ngkX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azc+vwAAANwAAAAPAAAAAAAAAAAAAAAAAJgCAABkcnMvZG93bnJl&#10;di54bWxQSwUGAAAAAAQABAD1AAAAhAMAAAAA&#10;" path="m,l9129,e" filled="f" strokeweight=".82pt">
              <v:path arrowok="t" o:connecttype="custom" o:connectlocs="0,0;9129,0" o:connectangles="0,0"/>
            </v:shape>
            <w10:wrap anchorx="page"/>
          </v:group>
        </w:pict>
      </w:r>
      <w:r w:rsidRPr="008C272D">
        <w:rPr>
          <w:b/>
          <w:bCs/>
          <w:noProof/>
        </w:rPr>
        <w:pict>
          <v:group id="Group 94" o:spid="_x0000_s1032" style="position:absolute;left:0;text-align:left;margin-left:69.5pt;margin-top:50.6pt;width:456.45pt;height:.1pt;z-index:-251655168;mso-position-horizontal-relative:page" coordorigin="1390,1012" coordsize="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">
            <v:shape id="Freeform 95" o:spid="_x0000_s1033" style="position:absolute;left:1390;top:1012;width:9129;height:2;visibility:visible;mso-wrap-style:square;v-text-anchor:top" coordsize="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4K0cEA&#10;AADcAAAADwAAAGRycy9kb3ducmV2LnhtbERPS4vCMBC+C/6HMMLeNG1FkWoUtyDsTXyAHodm+sBm&#10;Uppsbf/9ZmFhb/PxPWd3GEwjeupcbVlBvIhAEOdW11wquN9O8w0I55E1NpZJwUgODvvpZIeptm++&#10;UH/1pQgh7FJUUHnfplK6vCKDbmFb4sAVtjPoA+xKqTt8h3DTyCSK1tJgzaGhwpayivLX9dsoOH+O&#10;j2USy1f8XK6KuqDxfBozpT5mw3ELwtPg/8V/7i8d5kcJ/D4TLpD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7OCtHBAAAA3AAAAA8AAAAAAAAAAAAAAAAAmAIAAGRycy9kb3du&#10;cmV2LnhtbFBLBQYAAAAABAAEAPUAAACGAwAAAAA=&#10;" path="m,l9129,e" filled="f" strokeweight=".82pt">
              <v:path arrowok="t" o:connecttype="custom" o:connectlocs="0,0;9129,0" o:connectangles="0,0"/>
            </v:shape>
            <w10:wrap anchorx="page"/>
          </v:group>
        </w:pict>
      </w:r>
      <w:r w:rsidR="00413BFF" w:rsidRPr="00713400">
        <w:rPr>
          <w:b/>
          <w:bCs/>
          <w:spacing w:val="-2"/>
        </w:rPr>
        <w:t>R</w:t>
      </w:r>
      <w:r w:rsidR="00413BFF" w:rsidRPr="00713400">
        <w:rPr>
          <w:b/>
          <w:bCs/>
        </w:rPr>
        <w:t>ámcová doho</w:t>
      </w:r>
      <w:r w:rsidR="00413BFF" w:rsidRPr="00713400">
        <w:rPr>
          <w:b/>
          <w:bCs/>
          <w:spacing w:val="-1"/>
        </w:rPr>
        <w:t>d</w:t>
      </w:r>
      <w:r w:rsidR="00413BFF" w:rsidRPr="00713400">
        <w:rPr>
          <w:b/>
          <w:bCs/>
        </w:rPr>
        <w:t>a</w:t>
      </w: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before="15" w:line="220" w:lineRule="exact"/>
        <w:rPr>
          <w:rFonts w:eastAsia="Calibri"/>
        </w:rPr>
      </w:pPr>
    </w:p>
    <w:p w:rsidR="00413BFF" w:rsidRPr="00713400" w:rsidRDefault="00413BFF" w:rsidP="00413BFF">
      <w:pPr>
        <w:widowControl w:val="0"/>
        <w:suppressAutoHyphens/>
        <w:spacing w:before="72"/>
        <w:ind w:left="3402" w:right="3919"/>
        <w:jc w:val="center"/>
      </w:pPr>
      <w:r w:rsidRPr="00713400">
        <w:rPr>
          <w:b/>
          <w:bCs/>
        </w:rPr>
        <w:t>u</w:t>
      </w:r>
      <w:r w:rsidRPr="00713400">
        <w:rPr>
          <w:b/>
          <w:bCs/>
          <w:spacing w:val="-3"/>
        </w:rPr>
        <w:t>z</w:t>
      </w:r>
      <w:r w:rsidRPr="00713400">
        <w:rPr>
          <w:b/>
          <w:bCs/>
        </w:rPr>
        <w:t>avretá</w:t>
      </w:r>
      <w:r w:rsidRPr="00713400">
        <w:rPr>
          <w:b/>
          <w:bCs/>
          <w:spacing w:val="-3"/>
        </w:rPr>
        <w:t xml:space="preserve"> </w:t>
      </w:r>
      <w:r w:rsidRPr="00713400">
        <w:rPr>
          <w:b/>
          <w:bCs/>
        </w:rPr>
        <w:t>med</w:t>
      </w:r>
      <w:r w:rsidRPr="00713400">
        <w:rPr>
          <w:b/>
          <w:bCs/>
          <w:spacing w:val="-2"/>
        </w:rPr>
        <w:t>z</w:t>
      </w:r>
      <w:r w:rsidRPr="00713400">
        <w:rPr>
          <w:b/>
          <w:bCs/>
        </w:rPr>
        <w:t>i</w:t>
      </w: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before="12" w:line="240" w:lineRule="exact"/>
        <w:rPr>
          <w:rFonts w:eastAsia="Calibri"/>
        </w:rPr>
      </w:pPr>
    </w:p>
    <w:p w:rsidR="00413BFF" w:rsidRPr="00713400" w:rsidRDefault="00413BFF" w:rsidP="00E42699">
      <w:pPr>
        <w:widowControl w:val="0"/>
        <w:suppressAutoHyphens/>
        <w:ind w:right="3"/>
        <w:jc w:val="center"/>
      </w:pPr>
      <w:r w:rsidRPr="00713400">
        <w:rPr>
          <w:spacing w:val="1"/>
        </w:rPr>
        <w:t>T</w:t>
      </w:r>
      <w:r w:rsidRPr="00713400">
        <w:rPr>
          <w:spacing w:val="-2"/>
        </w:rPr>
        <w:t>r</w:t>
      </w:r>
      <w:r w:rsidRPr="00713400">
        <w:t>en</w:t>
      </w:r>
      <w:r w:rsidRPr="00713400">
        <w:rPr>
          <w:spacing w:val="-2"/>
        </w:rPr>
        <w:t>č</w:t>
      </w:r>
      <w:r w:rsidRPr="00713400">
        <w:t>ia</w:t>
      </w:r>
      <w:r w:rsidRPr="00713400">
        <w:rPr>
          <w:spacing w:val="-2"/>
        </w:rPr>
        <w:t>n</w:t>
      </w:r>
      <w:r w:rsidRPr="00713400">
        <w:t>s</w:t>
      </w:r>
      <w:r w:rsidRPr="00713400">
        <w:rPr>
          <w:spacing w:val="-2"/>
        </w:rPr>
        <w:t>k</w:t>
      </w:r>
      <w:r w:rsidRPr="00713400">
        <w:t>y</w:t>
      </w:r>
      <w:r w:rsidRPr="00713400">
        <w:rPr>
          <w:spacing w:val="-3"/>
        </w:rPr>
        <w:t xml:space="preserve"> </w:t>
      </w:r>
      <w:r w:rsidRPr="00713400">
        <w:t>s</w:t>
      </w:r>
      <w:r w:rsidRPr="00713400">
        <w:rPr>
          <w:spacing w:val="3"/>
        </w:rPr>
        <w:t>a</w:t>
      </w:r>
      <w:r w:rsidRPr="00713400">
        <w:rPr>
          <w:spacing w:val="-4"/>
        </w:rPr>
        <w:t>m</w:t>
      </w:r>
      <w:r w:rsidRPr="00713400">
        <w:t>osp</w:t>
      </w:r>
      <w:r w:rsidRPr="00713400">
        <w:rPr>
          <w:spacing w:val="1"/>
        </w:rPr>
        <w:t>r</w:t>
      </w:r>
      <w:r w:rsidRPr="00713400">
        <w:t>á</w:t>
      </w:r>
      <w:r w:rsidRPr="00713400">
        <w:rPr>
          <w:spacing w:val="-2"/>
        </w:rPr>
        <w:t>v</w:t>
      </w:r>
      <w:r w:rsidRPr="00713400">
        <w:t>ny</w:t>
      </w:r>
      <w:r w:rsidRPr="00713400">
        <w:rPr>
          <w:spacing w:val="-1"/>
        </w:rPr>
        <w:t xml:space="preserve"> </w:t>
      </w:r>
      <w:r w:rsidRPr="00713400">
        <w:rPr>
          <w:spacing w:val="-3"/>
        </w:rPr>
        <w:t>k</w:t>
      </w:r>
      <w:r w:rsidRPr="00713400">
        <w:t>raj</w:t>
      </w:r>
    </w:p>
    <w:p w:rsidR="00413BFF" w:rsidRPr="00713400" w:rsidRDefault="00413BFF" w:rsidP="00413BFF">
      <w:pPr>
        <w:widowControl w:val="0"/>
        <w:suppressAutoHyphens/>
        <w:spacing w:before="7" w:line="16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ind w:left="4110" w:right="4109"/>
        <w:jc w:val="center"/>
        <w:outlineLvl w:val="1"/>
      </w:pPr>
      <w:r w:rsidRPr="00713400">
        <w:rPr>
          <w:b/>
          <w:bCs/>
        </w:rPr>
        <w:t>a</w:t>
      </w:r>
    </w:p>
    <w:p w:rsidR="00413BFF" w:rsidRPr="00713400" w:rsidRDefault="00413BFF" w:rsidP="00413BFF">
      <w:pPr>
        <w:widowControl w:val="0"/>
        <w:suppressAutoHyphens/>
        <w:spacing w:before="1" w:line="16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rPr>
          <w:rFonts w:eastAsia="Calibri"/>
        </w:rPr>
      </w:pPr>
    </w:p>
    <w:p w:rsidR="00413BFF" w:rsidRPr="00713400" w:rsidRDefault="00413BFF" w:rsidP="00413BFF">
      <w:pPr>
        <w:widowControl w:val="0"/>
        <w:suppressAutoHyphens/>
        <w:spacing w:line="200" w:lineRule="exact"/>
        <w:jc w:val="center"/>
        <w:rPr>
          <w:rFonts w:eastAsia="Calibri"/>
        </w:rPr>
      </w:pPr>
    </w:p>
    <w:p w:rsidR="00413BFF" w:rsidRDefault="00413BFF" w:rsidP="00413BFF">
      <w:pPr>
        <w:widowControl w:val="0"/>
        <w:suppressAutoHyphens/>
        <w:spacing w:line="200" w:lineRule="exact"/>
        <w:ind w:left="732" w:firstLine="708"/>
        <w:rPr>
          <w:rFonts w:eastAsia="Calibri"/>
        </w:rPr>
      </w:pPr>
      <w:r w:rsidRPr="00713400">
        <w:rPr>
          <w:rFonts w:eastAsia="Calibri"/>
        </w:rPr>
        <w:t xml:space="preserve">            </w:t>
      </w:r>
    </w:p>
    <w:p w:rsidR="00413BFF" w:rsidRDefault="00413BFF" w:rsidP="00413BFF">
      <w:pPr>
        <w:widowControl w:val="0"/>
        <w:suppressAutoHyphens/>
        <w:spacing w:line="200" w:lineRule="exact"/>
        <w:ind w:left="732" w:firstLine="708"/>
        <w:rPr>
          <w:rFonts w:eastAsia="Calibri"/>
        </w:rPr>
      </w:pPr>
    </w:p>
    <w:p w:rsidR="00413BFF" w:rsidRDefault="00413BFF" w:rsidP="00413BFF">
      <w:pPr>
        <w:widowControl w:val="0"/>
        <w:suppressAutoHyphens/>
        <w:spacing w:line="200" w:lineRule="exact"/>
        <w:ind w:left="732" w:firstLine="708"/>
        <w:rPr>
          <w:rFonts w:eastAsia="Calibri"/>
        </w:rPr>
      </w:pPr>
    </w:p>
    <w:p w:rsidR="00413BFF" w:rsidRPr="00713400" w:rsidRDefault="00413BFF" w:rsidP="00413BFF">
      <w:pPr>
        <w:widowControl w:val="0"/>
        <w:suppressAutoHyphens/>
        <w:spacing w:line="200" w:lineRule="exact"/>
        <w:ind w:left="732" w:firstLine="708"/>
        <w:rPr>
          <w:b/>
          <w:bCs/>
        </w:rPr>
      </w:pPr>
    </w:p>
    <w:p w:rsidR="00413BFF" w:rsidRPr="00713400" w:rsidRDefault="00413BFF" w:rsidP="00413BFF">
      <w:pPr>
        <w:widowControl w:val="0"/>
        <w:suppressAutoHyphens/>
        <w:spacing w:line="200" w:lineRule="exact"/>
        <w:jc w:val="center"/>
        <w:rPr>
          <w:rFonts w:eastAsia="Calibri"/>
          <w:sz w:val="20"/>
          <w:szCs w:val="20"/>
        </w:rPr>
      </w:pPr>
    </w:p>
    <w:p w:rsidR="00413BFF" w:rsidRPr="00713400" w:rsidRDefault="00413BFF" w:rsidP="00413BFF">
      <w:pPr>
        <w:widowControl w:val="0"/>
        <w:suppressAutoHyphens/>
        <w:spacing w:before="78"/>
        <w:ind w:left="3889" w:right="3887"/>
        <w:jc w:val="center"/>
        <w:rPr>
          <w:b/>
          <w:bCs/>
          <w:spacing w:val="-4"/>
        </w:rPr>
      </w:pPr>
    </w:p>
    <w:p w:rsidR="00413BFF" w:rsidRPr="00713400" w:rsidRDefault="00413BFF" w:rsidP="00413BFF">
      <w:pPr>
        <w:widowControl w:val="0"/>
        <w:suppressAutoHyphens/>
        <w:spacing w:before="78"/>
        <w:ind w:left="3889" w:right="3887"/>
        <w:jc w:val="center"/>
        <w:rPr>
          <w:b/>
          <w:bCs/>
          <w:spacing w:val="-4"/>
        </w:rPr>
      </w:pPr>
    </w:p>
    <w:p w:rsidR="00413BFF" w:rsidRPr="00713400" w:rsidRDefault="00413BFF" w:rsidP="00413BFF">
      <w:pPr>
        <w:widowControl w:val="0"/>
        <w:suppressAutoHyphens/>
        <w:spacing w:before="78"/>
        <w:ind w:left="3889" w:right="3887"/>
        <w:jc w:val="center"/>
        <w:rPr>
          <w:b/>
          <w:bCs/>
          <w:spacing w:val="-4"/>
        </w:rPr>
      </w:pPr>
    </w:p>
    <w:p w:rsidR="00413BFF" w:rsidRPr="00713400" w:rsidRDefault="00413BFF" w:rsidP="00413BFF">
      <w:pPr>
        <w:widowControl w:val="0"/>
        <w:suppressAutoHyphens/>
        <w:spacing w:before="78"/>
        <w:ind w:left="3889" w:right="3887"/>
        <w:jc w:val="center"/>
        <w:rPr>
          <w:b/>
          <w:bCs/>
          <w:spacing w:val="-4"/>
        </w:rPr>
      </w:pPr>
    </w:p>
    <w:p w:rsidR="00413BFF" w:rsidRPr="00713400" w:rsidRDefault="00413BFF" w:rsidP="00413BFF">
      <w:pPr>
        <w:widowControl w:val="0"/>
        <w:suppressAutoHyphens/>
        <w:spacing w:before="78"/>
        <w:ind w:left="3889" w:right="3887"/>
        <w:jc w:val="center"/>
        <w:rPr>
          <w:b/>
          <w:bCs/>
          <w:spacing w:val="-4"/>
        </w:rPr>
      </w:pPr>
    </w:p>
    <w:p w:rsidR="00413BFF" w:rsidRPr="005D7968" w:rsidRDefault="00413BFF" w:rsidP="00413BFF">
      <w:pPr>
        <w:pStyle w:val="milos"/>
        <w:tabs>
          <w:tab w:val="left" w:pos="8505"/>
        </w:tabs>
        <w:ind w:right="-1" w:hanging="567"/>
        <w:jc w:val="both"/>
        <w:rPr>
          <w:rFonts w:ascii="Times New Roman" w:hAnsi="Times New Roman"/>
          <w:color w:val="000000"/>
          <w:lang w:val="sk-SK"/>
        </w:rPr>
      </w:pPr>
    </w:p>
    <w:p w:rsidR="00413BFF" w:rsidRPr="00DD07FB" w:rsidRDefault="00413BFF" w:rsidP="00413BFF">
      <w:pPr>
        <w:pStyle w:val="Nzov"/>
        <w:tabs>
          <w:tab w:val="left" w:pos="3420"/>
        </w:tabs>
        <w:rPr>
          <w:bCs w:val="0"/>
          <w:color w:val="000000"/>
          <w:sz w:val="28"/>
          <w:szCs w:val="28"/>
          <w:u w:val="none"/>
        </w:rPr>
      </w:pPr>
      <w:r w:rsidRPr="00DD07FB">
        <w:rPr>
          <w:bCs w:val="0"/>
          <w:color w:val="000000"/>
          <w:sz w:val="28"/>
          <w:szCs w:val="28"/>
          <w:u w:val="none"/>
        </w:rPr>
        <w:t>Zmluvné strany</w:t>
      </w:r>
    </w:p>
    <w:p w:rsidR="00413BFF" w:rsidRPr="000C6122" w:rsidRDefault="00413BFF" w:rsidP="00413BFF">
      <w:pPr>
        <w:pStyle w:val="Nzov"/>
        <w:tabs>
          <w:tab w:val="left" w:pos="3420"/>
        </w:tabs>
        <w:rPr>
          <w:bCs w:val="0"/>
          <w:color w:val="000000"/>
          <w:sz w:val="24"/>
        </w:rPr>
      </w:pPr>
    </w:p>
    <w:p w:rsidR="00413BFF" w:rsidRPr="000C6122" w:rsidRDefault="00413BFF" w:rsidP="00413BFF">
      <w:pPr>
        <w:ind w:left="2832" w:hanging="2832"/>
        <w:rPr>
          <w:b/>
          <w:color w:val="000000"/>
        </w:rPr>
      </w:pPr>
      <w:r>
        <w:rPr>
          <w:b/>
          <w:color w:val="000000"/>
        </w:rPr>
        <w:t>Objednávateľ:</w:t>
      </w:r>
      <w:r>
        <w:rPr>
          <w:color w:val="000000"/>
        </w:rPr>
        <w:tab/>
      </w:r>
      <w:r w:rsidR="00CA34E6">
        <w:rPr>
          <w:color w:val="000000"/>
        </w:rPr>
        <w:tab/>
      </w:r>
      <w:r w:rsidR="00CA34E6">
        <w:rPr>
          <w:color w:val="000000"/>
        </w:rPr>
        <w:tab/>
      </w:r>
      <w:r w:rsidR="00CA34E6">
        <w:rPr>
          <w:color w:val="000000"/>
        </w:rPr>
        <w:tab/>
      </w:r>
      <w:r>
        <w:rPr>
          <w:b/>
          <w:color w:val="000000"/>
        </w:rPr>
        <w:t>Trenčiansky samosprávny kraj</w:t>
      </w:r>
    </w:p>
    <w:p w:rsidR="00413BFF" w:rsidRPr="00965329" w:rsidRDefault="00413BFF" w:rsidP="00413BFF">
      <w:pPr>
        <w:rPr>
          <w:color w:val="000000"/>
        </w:rPr>
      </w:pPr>
      <w:r w:rsidRPr="00965329">
        <w:rPr>
          <w:color w:val="000000"/>
        </w:rPr>
        <w:t>so sídlom:</w:t>
      </w:r>
      <w:r w:rsidRPr="00965329">
        <w:rPr>
          <w:color w:val="000000"/>
        </w:rPr>
        <w:tab/>
      </w:r>
      <w:r w:rsidRPr="00965329">
        <w:rPr>
          <w:color w:val="000000"/>
        </w:rPr>
        <w:tab/>
      </w:r>
      <w:r w:rsidRPr="00965329">
        <w:rPr>
          <w:color w:val="000000"/>
        </w:rPr>
        <w:tab/>
      </w:r>
      <w:r w:rsidR="00CA34E6">
        <w:rPr>
          <w:color w:val="000000"/>
        </w:rPr>
        <w:tab/>
      </w:r>
      <w:r w:rsidR="00CA34E6">
        <w:rPr>
          <w:color w:val="000000"/>
        </w:rPr>
        <w:tab/>
      </w:r>
      <w:r>
        <w:rPr>
          <w:color w:val="000000"/>
        </w:rPr>
        <w:t>K dolnej stanici 7282/20A, 911 01 Trenčín</w:t>
      </w:r>
    </w:p>
    <w:p w:rsidR="00413BFF" w:rsidRPr="00965329" w:rsidRDefault="00413BFF" w:rsidP="00413BFF">
      <w:r w:rsidRPr="00965329">
        <w:t xml:space="preserve">v zastúpení: </w:t>
      </w:r>
      <w:r w:rsidRPr="00965329">
        <w:tab/>
        <w:t xml:space="preserve">          </w:t>
      </w:r>
      <w:r w:rsidRPr="00965329">
        <w:tab/>
      </w:r>
      <w:r w:rsidRPr="00965329">
        <w:tab/>
      </w:r>
      <w:r>
        <w:t>Ing. Jaroslav Baška - predseda</w:t>
      </w:r>
      <w:r w:rsidRPr="00965329">
        <w:rPr>
          <w:bCs/>
        </w:rPr>
        <w:t xml:space="preserve"> </w:t>
      </w:r>
    </w:p>
    <w:p w:rsidR="00413BFF" w:rsidRPr="00965329" w:rsidRDefault="00413BFF" w:rsidP="00413BFF">
      <w:pPr>
        <w:rPr>
          <w:color w:val="000000"/>
        </w:rPr>
      </w:pPr>
      <w:r w:rsidRPr="00965329">
        <w:rPr>
          <w:color w:val="000000"/>
        </w:rPr>
        <w:t xml:space="preserve">IČO: </w:t>
      </w:r>
      <w:r w:rsidRPr="00965329">
        <w:rPr>
          <w:color w:val="000000"/>
        </w:rPr>
        <w:tab/>
      </w:r>
      <w:r w:rsidRPr="00965329">
        <w:rPr>
          <w:color w:val="000000"/>
        </w:rPr>
        <w:tab/>
      </w:r>
      <w:r w:rsidRPr="00965329">
        <w:rPr>
          <w:color w:val="000000"/>
        </w:rPr>
        <w:tab/>
      </w:r>
      <w:r w:rsidRPr="00965329">
        <w:rPr>
          <w:color w:val="000000"/>
        </w:rPr>
        <w:tab/>
      </w:r>
      <w:r w:rsidR="00CA34E6">
        <w:rPr>
          <w:color w:val="000000"/>
        </w:rPr>
        <w:tab/>
      </w:r>
      <w:r w:rsidR="00CA34E6">
        <w:rPr>
          <w:color w:val="000000"/>
        </w:rPr>
        <w:tab/>
      </w:r>
      <w:r>
        <w:rPr>
          <w:color w:val="000000"/>
        </w:rPr>
        <w:t>36 126 624</w:t>
      </w:r>
    </w:p>
    <w:p w:rsidR="00413BFF" w:rsidRDefault="00413BFF" w:rsidP="00413BFF">
      <w:r w:rsidRPr="00965329">
        <w:t>DIČ:</w:t>
      </w:r>
      <w:r w:rsidRPr="00965329">
        <w:tab/>
      </w:r>
      <w:r w:rsidRPr="00965329">
        <w:tab/>
      </w:r>
      <w:r w:rsidRPr="00965329">
        <w:tab/>
      </w:r>
      <w:r w:rsidRPr="00965329">
        <w:tab/>
      </w:r>
      <w:r w:rsidR="00CA34E6">
        <w:tab/>
      </w:r>
      <w:r w:rsidR="00CA34E6">
        <w:tab/>
      </w:r>
      <w:r>
        <w:t>2021613275</w:t>
      </w:r>
      <w:r w:rsidRPr="00965329">
        <w:t xml:space="preserve">    </w:t>
      </w:r>
    </w:p>
    <w:p w:rsidR="00413BFF" w:rsidRDefault="00413BFF" w:rsidP="00413BFF">
      <w:r>
        <w:t>IČ DPH:</w:t>
      </w:r>
      <w:r>
        <w:tab/>
      </w:r>
      <w:r>
        <w:tab/>
      </w:r>
      <w:r>
        <w:tab/>
      </w:r>
      <w:r w:rsidR="00CA34E6">
        <w:tab/>
      </w:r>
      <w:r w:rsidR="00CA34E6">
        <w:tab/>
      </w:r>
      <w:r>
        <w:t>nie je platiteľom DPH</w:t>
      </w:r>
      <w:r w:rsidRPr="00965329">
        <w:t xml:space="preserve">           </w:t>
      </w:r>
    </w:p>
    <w:p w:rsidR="00413BFF" w:rsidRDefault="00413BFF" w:rsidP="00413BFF">
      <w:r>
        <w:t>Bankové spojenie:</w:t>
      </w:r>
      <w:r>
        <w:tab/>
      </w:r>
      <w:r>
        <w:tab/>
      </w:r>
      <w:r w:rsidR="00CA34E6">
        <w:tab/>
      </w:r>
      <w:r>
        <w:t xml:space="preserve">Štátna pokladnica </w:t>
      </w:r>
    </w:p>
    <w:p w:rsidR="00413BFF" w:rsidRPr="00965329" w:rsidRDefault="00413BFF" w:rsidP="00413BFF">
      <w:r w:rsidRPr="00965329">
        <w:t xml:space="preserve">IBAN: </w:t>
      </w:r>
      <w:r>
        <w:tab/>
      </w:r>
      <w:r>
        <w:tab/>
      </w:r>
      <w:r>
        <w:tab/>
      </w:r>
      <w:r w:rsidR="00CA34E6">
        <w:tab/>
      </w:r>
      <w:r w:rsidR="00CA34E6">
        <w:tab/>
      </w:r>
      <w:r w:rsidR="00CA34E6">
        <w:tab/>
      </w:r>
      <w:r>
        <w:t>SK51 8180 0000 0070 0050 4489</w:t>
      </w:r>
      <w:r w:rsidRPr="00965329">
        <w:tab/>
      </w:r>
    </w:p>
    <w:p w:rsidR="00413BFF" w:rsidRPr="00965329" w:rsidRDefault="00413BFF" w:rsidP="00413BFF">
      <w:r>
        <w:tab/>
      </w:r>
      <w:r>
        <w:tab/>
      </w:r>
      <w:r w:rsidRPr="00965329">
        <w:tab/>
      </w:r>
      <w:r w:rsidRPr="00965329">
        <w:tab/>
      </w:r>
      <w:r w:rsidRPr="00965329">
        <w:tab/>
      </w:r>
    </w:p>
    <w:p w:rsidR="00413BFF" w:rsidRDefault="00413BFF" w:rsidP="00413BFF">
      <w:pPr>
        <w:pStyle w:val="Nzov"/>
        <w:jc w:val="both"/>
        <w:rPr>
          <w:b w:val="0"/>
          <w:bCs w:val="0"/>
          <w:sz w:val="24"/>
          <w:u w:val="none"/>
        </w:rPr>
      </w:pPr>
      <w:r w:rsidRPr="00470F7D">
        <w:rPr>
          <w:b w:val="0"/>
          <w:bCs w:val="0"/>
          <w:sz w:val="24"/>
          <w:u w:val="none"/>
        </w:rPr>
        <w:t xml:space="preserve"> (ďalej len „</w:t>
      </w:r>
      <w:r w:rsidRPr="00470F7D">
        <w:rPr>
          <w:bCs w:val="0"/>
          <w:sz w:val="24"/>
          <w:u w:val="none"/>
        </w:rPr>
        <w:t>Poistník“</w:t>
      </w:r>
      <w:r w:rsidRPr="00470F7D">
        <w:rPr>
          <w:b w:val="0"/>
          <w:bCs w:val="0"/>
          <w:sz w:val="24"/>
          <w:u w:val="none"/>
        </w:rPr>
        <w:t xml:space="preserve">) </w:t>
      </w:r>
    </w:p>
    <w:p w:rsidR="00413BFF" w:rsidRDefault="00413BFF" w:rsidP="00413BFF">
      <w:pPr>
        <w:pStyle w:val="Nzov"/>
        <w:jc w:val="both"/>
        <w:rPr>
          <w:b w:val="0"/>
          <w:bCs w:val="0"/>
          <w:sz w:val="24"/>
          <w:u w:val="none"/>
        </w:rPr>
      </w:pPr>
    </w:p>
    <w:p w:rsidR="00413BFF" w:rsidRPr="000C6122" w:rsidRDefault="00413BFF" w:rsidP="00413BFF">
      <w:pPr>
        <w:ind w:left="2832" w:hanging="2832"/>
        <w:rPr>
          <w:b/>
          <w:color w:val="000000"/>
        </w:rPr>
      </w:pPr>
      <w:r>
        <w:rPr>
          <w:b/>
          <w:color w:val="000000"/>
        </w:rPr>
        <w:t>Poistený:</w:t>
      </w:r>
      <w:r>
        <w:rPr>
          <w:color w:val="000000"/>
        </w:rPr>
        <w:tab/>
      </w:r>
      <w:r w:rsidR="00CA34E6">
        <w:rPr>
          <w:color w:val="000000"/>
        </w:rPr>
        <w:tab/>
      </w:r>
      <w:r w:rsidR="00CA34E6">
        <w:rPr>
          <w:color w:val="000000"/>
        </w:rPr>
        <w:tab/>
      </w:r>
      <w:r>
        <w:rPr>
          <w:b/>
          <w:color w:val="000000"/>
        </w:rPr>
        <w:t>Nemocnica s poliklinikou Považská Bystrica</w:t>
      </w:r>
    </w:p>
    <w:p w:rsidR="00413BFF" w:rsidRPr="00965329" w:rsidRDefault="00413BFF" w:rsidP="00413BFF">
      <w:pPr>
        <w:rPr>
          <w:color w:val="000000"/>
        </w:rPr>
      </w:pPr>
      <w:r>
        <w:rPr>
          <w:color w:val="000000"/>
        </w:rPr>
        <w:tab/>
      </w:r>
      <w:r w:rsidRPr="00965329">
        <w:rPr>
          <w:color w:val="000000"/>
        </w:rPr>
        <w:tab/>
      </w:r>
      <w:r w:rsidRPr="00965329">
        <w:rPr>
          <w:color w:val="000000"/>
        </w:rPr>
        <w:tab/>
      </w:r>
      <w:r w:rsidRPr="00965329">
        <w:rPr>
          <w:color w:val="000000"/>
        </w:rPr>
        <w:tab/>
      </w:r>
      <w:r>
        <w:rPr>
          <w:color w:val="000000"/>
        </w:rPr>
        <w:t>Nemocničná 986, 017 26 Považská Bystrica</w:t>
      </w:r>
    </w:p>
    <w:p w:rsidR="00413BFF" w:rsidRDefault="00413BFF" w:rsidP="00413BFF">
      <w:pPr>
        <w:rPr>
          <w:color w:val="000000"/>
        </w:rPr>
      </w:pPr>
      <w:r w:rsidRPr="00965329">
        <w:rPr>
          <w:color w:val="000000"/>
        </w:rPr>
        <w:tab/>
      </w:r>
      <w:r w:rsidRPr="00965329">
        <w:rPr>
          <w:color w:val="000000"/>
        </w:rPr>
        <w:tab/>
      </w:r>
      <w:r w:rsidRPr="00965329">
        <w:rPr>
          <w:color w:val="000000"/>
        </w:rPr>
        <w:tab/>
      </w:r>
      <w:r w:rsidRPr="00965329">
        <w:rPr>
          <w:color w:val="000000"/>
        </w:rPr>
        <w:tab/>
      </w:r>
      <w:r>
        <w:rPr>
          <w:color w:val="000000"/>
        </w:rPr>
        <w:t>00 610 411</w:t>
      </w:r>
    </w:p>
    <w:p w:rsidR="00413BFF" w:rsidRPr="00965329" w:rsidRDefault="00413BFF" w:rsidP="00413BFF">
      <w:pPr>
        <w:rPr>
          <w:color w:val="000000"/>
        </w:rPr>
      </w:pPr>
    </w:p>
    <w:p w:rsidR="00413BFF" w:rsidRPr="000C6122" w:rsidRDefault="00CA34E6" w:rsidP="00CA34E6">
      <w:pPr>
        <w:rPr>
          <w:b/>
          <w:color w:val="000000"/>
        </w:rPr>
      </w:pPr>
      <w:r>
        <w:rPr>
          <w:b/>
          <w:color w:val="000000"/>
        </w:rPr>
        <w:tab/>
      </w:r>
      <w:r>
        <w:rPr>
          <w:b/>
          <w:color w:val="000000"/>
        </w:rPr>
        <w:tab/>
      </w:r>
      <w:r>
        <w:rPr>
          <w:b/>
          <w:color w:val="000000"/>
        </w:rPr>
        <w:tab/>
      </w:r>
      <w:r>
        <w:rPr>
          <w:b/>
          <w:color w:val="000000"/>
        </w:rPr>
        <w:tab/>
      </w:r>
      <w:r w:rsidR="00413BFF">
        <w:rPr>
          <w:b/>
          <w:color w:val="000000"/>
        </w:rPr>
        <w:t>Nemocnica s poliklinikou Prievidza so sídlom v Bojniciach</w:t>
      </w:r>
    </w:p>
    <w:p w:rsidR="00413BFF" w:rsidRPr="00965329" w:rsidRDefault="00413BFF" w:rsidP="00413BFF">
      <w:pPr>
        <w:rPr>
          <w:color w:val="000000"/>
        </w:rPr>
      </w:pPr>
      <w:r>
        <w:rPr>
          <w:color w:val="000000"/>
        </w:rPr>
        <w:tab/>
      </w:r>
      <w:r w:rsidRPr="00965329">
        <w:rPr>
          <w:color w:val="000000"/>
        </w:rPr>
        <w:tab/>
      </w:r>
      <w:r w:rsidRPr="00965329">
        <w:rPr>
          <w:color w:val="000000"/>
        </w:rPr>
        <w:tab/>
      </w:r>
      <w:r w:rsidRPr="00965329">
        <w:rPr>
          <w:color w:val="000000"/>
        </w:rPr>
        <w:tab/>
      </w:r>
      <w:r>
        <w:rPr>
          <w:color w:val="000000"/>
        </w:rPr>
        <w:t>Nemocničná 2, 972 01 Bojnice</w:t>
      </w:r>
    </w:p>
    <w:p w:rsidR="00413BFF" w:rsidRDefault="00413BFF" w:rsidP="00413BFF">
      <w:pPr>
        <w:rPr>
          <w:color w:val="000000"/>
        </w:rPr>
      </w:pPr>
      <w:r>
        <w:rPr>
          <w:color w:val="000000"/>
        </w:rPr>
        <w:tab/>
      </w:r>
      <w:r w:rsidRPr="00965329">
        <w:rPr>
          <w:color w:val="000000"/>
        </w:rPr>
        <w:tab/>
      </w:r>
      <w:r w:rsidRPr="00965329">
        <w:rPr>
          <w:color w:val="000000"/>
        </w:rPr>
        <w:tab/>
      </w:r>
      <w:r w:rsidRPr="00965329">
        <w:rPr>
          <w:color w:val="000000"/>
        </w:rPr>
        <w:tab/>
      </w:r>
      <w:r>
        <w:rPr>
          <w:color w:val="000000"/>
        </w:rPr>
        <w:t>17 335 795</w:t>
      </w:r>
    </w:p>
    <w:p w:rsidR="00413BFF" w:rsidRDefault="00413BFF" w:rsidP="00413BFF">
      <w:pPr>
        <w:pStyle w:val="Nzov"/>
        <w:jc w:val="both"/>
        <w:rPr>
          <w:b w:val="0"/>
          <w:bCs w:val="0"/>
          <w:sz w:val="24"/>
          <w:u w:val="none"/>
        </w:rPr>
      </w:pPr>
    </w:p>
    <w:p w:rsidR="00413BFF" w:rsidRPr="000C6122" w:rsidRDefault="00CA34E6" w:rsidP="00CA34E6">
      <w:pPr>
        <w:rPr>
          <w:b/>
          <w:color w:val="000000"/>
        </w:rPr>
      </w:pPr>
      <w:r>
        <w:rPr>
          <w:b/>
          <w:color w:val="000000"/>
        </w:rPr>
        <w:tab/>
      </w:r>
      <w:r>
        <w:rPr>
          <w:b/>
          <w:color w:val="000000"/>
        </w:rPr>
        <w:tab/>
      </w:r>
      <w:r>
        <w:rPr>
          <w:b/>
          <w:color w:val="000000"/>
        </w:rPr>
        <w:tab/>
      </w:r>
      <w:r>
        <w:rPr>
          <w:b/>
          <w:color w:val="000000"/>
        </w:rPr>
        <w:tab/>
      </w:r>
      <w:r w:rsidR="00413BFF">
        <w:rPr>
          <w:b/>
          <w:color w:val="000000"/>
        </w:rPr>
        <w:t>Nemocnica s poliklinikou Myjava</w:t>
      </w:r>
    </w:p>
    <w:p w:rsidR="00413BFF" w:rsidRPr="00965329" w:rsidRDefault="00413BFF" w:rsidP="00413BFF">
      <w:pPr>
        <w:rPr>
          <w:color w:val="000000"/>
        </w:rPr>
      </w:pPr>
      <w:r>
        <w:rPr>
          <w:color w:val="000000"/>
        </w:rPr>
        <w:tab/>
      </w:r>
      <w:r w:rsidRPr="00965329">
        <w:rPr>
          <w:color w:val="000000"/>
        </w:rPr>
        <w:tab/>
      </w:r>
      <w:r w:rsidRPr="00965329">
        <w:rPr>
          <w:color w:val="000000"/>
        </w:rPr>
        <w:tab/>
      </w:r>
      <w:r w:rsidRPr="00965329">
        <w:rPr>
          <w:color w:val="000000"/>
        </w:rPr>
        <w:tab/>
      </w:r>
      <w:proofErr w:type="spellStart"/>
      <w:r>
        <w:rPr>
          <w:color w:val="000000"/>
        </w:rPr>
        <w:t>Staromyjavská</w:t>
      </w:r>
      <w:proofErr w:type="spellEnd"/>
      <w:r>
        <w:rPr>
          <w:color w:val="000000"/>
        </w:rPr>
        <w:t xml:space="preserve"> 59, 907 01 Myjava</w:t>
      </w:r>
    </w:p>
    <w:p w:rsidR="00413BFF" w:rsidRDefault="00413BFF" w:rsidP="00413BFF">
      <w:pPr>
        <w:rPr>
          <w:color w:val="000000"/>
        </w:rPr>
      </w:pPr>
      <w:r>
        <w:rPr>
          <w:color w:val="000000"/>
        </w:rPr>
        <w:tab/>
      </w:r>
      <w:r w:rsidRPr="00965329">
        <w:rPr>
          <w:color w:val="000000"/>
        </w:rPr>
        <w:tab/>
      </w:r>
      <w:r w:rsidRPr="00965329">
        <w:rPr>
          <w:color w:val="000000"/>
        </w:rPr>
        <w:tab/>
      </w:r>
      <w:r w:rsidRPr="00965329">
        <w:rPr>
          <w:color w:val="000000"/>
        </w:rPr>
        <w:tab/>
      </w:r>
      <w:r>
        <w:rPr>
          <w:color w:val="000000"/>
        </w:rPr>
        <w:t>00 610 721</w:t>
      </w:r>
    </w:p>
    <w:p w:rsidR="00413BFF" w:rsidRDefault="00413BFF" w:rsidP="00413BFF">
      <w:pPr>
        <w:pStyle w:val="Nzov"/>
        <w:jc w:val="both"/>
        <w:rPr>
          <w:b w:val="0"/>
          <w:bCs w:val="0"/>
          <w:sz w:val="24"/>
          <w:u w:val="none"/>
        </w:rPr>
      </w:pPr>
    </w:p>
    <w:p w:rsidR="00413BFF" w:rsidRDefault="00413BFF" w:rsidP="00413BFF">
      <w:pPr>
        <w:pStyle w:val="Nzov"/>
        <w:jc w:val="both"/>
        <w:rPr>
          <w:b w:val="0"/>
          <w:bCs w:val="0"/>
          <w:sz w:val="24"/>
          <w:u w:val="none"/>
        </w:rPr>
      </w:pPr>
    </w:p>
    <w:p w:rsidR="00413BFF" w:rsidRPr="00470F7D" w:rsidRDefault="00413BFF" w:rsidP="00413BFF">
      <w:pPr>
        <w:pStyle w:val="Nzov"/>
        <w:jc w:val="both"/>
        <w:rPr>
          <w:sz w:val="24"/>
          <w:u w:val="none"/>
        </w:rPr>
      </w:pPr>
      <w:r w:rsidRPr="00470F7D">
        <w:rPr>
          <w:sz w:val="24"/>
          <w:u w:val="none"/>
        </w:rPr>
        <w:t>a</w:t>
      </w:r>
    </w:p>
    <w:p w:rsidR="00413BFF" w:rsidRPr="00470F7D" w:rsidRDefault="00413BFF" w:rsidP="00413BFF">
      <w:pPr>
        <w:pStyle w:val="Nzov"/>
        <w:jc w:val="left"/>
        <w:rPr>
          <w:sz w:val="24"/>
          <w:u w:val="none"/>
        </w:rPr>
      </w:pPr>
      <w:r>
        <w:rPr>
          <w:sz w:val="24"/>
          <w:u w:val="none"/>
        </w:rPr>
        <w:tab/>
      </w:r>
      <w:r>
        <w:rPr>
          <w:sz w:val="24"/>
          <w:u w:val="none"/>
        </w:rPr>
        <w:tab/>
      </w:r>
      <w:r>
        <w:rPr>
          <w:sz w:val="24"/>
          <w:u w:val="none"/>
        </w:rPr>
        <w:tab/>
      </w:r>
      <w:r>
        <w:rPr>
          <w:sz w:val="24"/>
          <w:u w:val="none"/>
        </w:rPr>
        <w:tab/>
      </w:r>
      <w:r>
        <w:rPr>
          <w:sz w:val="24"/>
          <w:u w:val="none"/>
        </w:rPr>
        <w:tab/>
      </w:r>
    </w:p>
    <w:p w:rsidR="00413BFF" w:rsidRPr="005A19C9" w:rsidRDefault="00413BFF" w:rsidP="00413BFF">
      <w:pPr>
        <w:tabs>
          <w:tab w:val="left" w:pos="2257"/>
        </w:tabs>
        <w:suppressAutoHyphens/>
        <w:ind w:left="118"/>
        <w:rPr>
          <w:b/>
          <w:bCs/>
        </w:rPr>
      </w:pPr>
      <w:r w:rsidRPr="005A19C9">
        <w:rPr>
          <w:b/>
          <w:bCs/>
        </w:rPr>
        <w:t>Poskytovateľ služby:</w:t>
      </w:r>
      <w:r w:rsidRPr="005A19C9">
        <w:rPr>
          <w:b/>
          <w:bCs/>
        </w:rPr>
        <w:tab/>
      </w:r>
    </w:p>
    <w:p w:rsidR="00413BFF" w:rsidRPr="005A19C9" w:rsidRDefault="00413BFF" w:rsidP="00413BFF">
      <w:pPr>
        <w:tabs>
          <w:tab w:val="left" w:pos="2257"/>
        </w:tabs>
        <w:suppressAutoHyphens/>
        <w:ind w:left="118"/>
        <w:rPr>
          <w:bCs/>
        </w:rPr>
      </w:pPr>
      <w:r w:rsidRPr="005A19C9">
        <w:rPr>
          <w:bCs/>
        </w:rPr>
        <w:t>so sídlom:</w:t>
      </w:r>
      <w:r w:rsidRPr="005A19C9">
        <w:rPr>
          <w:bCs/>
        </w:rPr>
        <w:tab/>
      </w:r>
    </w:p>
    <w:p w:rsidR="00413BFF" w:rsidRPr="005A19C9" w:rsidRDefault="00413BFF" w:rsidP="00413BFF">
      <w:pPr>
        <w:tabs>
          <w:tab w:val="left" w:pos="2257"/>
        </w:tabs>
        <w:suppressAutoHyphens/>
        <w:ind w:left="2248" w:hanging="2130"/>
        <w:rPr>
          <w:bCs/>
        </w:rPr>
      </w:pPr>
      <w:r>
        <w:rPr>
          <w:bCs/>
        </w:rPr>
        <w:t>v zastúpení:</w:t>
      </w:r>
      <w:r>
        <w:rPr>
          <w:bCs/>
        </w:rPr>
        <w:tab/>
        <w:t xml:space="preserve"> </w:t>
      </w:r>
    </w:p>
    <w:p w:rsidR="00413BFF" w:rsidRPr="005A19C9" w:rsidRDefault="00413BFF" w:rsidP="00413BFF">
      <w:pPr>
        <w:tabs>
          <w:tab w:val="left" w:pos="2257"/>
        </w:tabs>
        <w:suppressAutoHyphens/>
        <w:rPr>
          <w:bCs/>
        </w:rPr>
      </w:pPr>
      <w:r w:rsidRPr="005A19C9">
        <w:rPr>
          <w:bCs/>
        </w:rPr>
        <w:t xml:space="preserve">  Číslo tel.:</w:t>
      </w:r>
      <w:r w:rsidRPr="005A19C9">
        <w:rPr>
          <w:bCs/>
        </w:rPr>
        <w:tab/>
      </w:r>
    </w:p>
    <w:p w:rsidR="00413BFF" w:rsidRPr="005A19C9" w:rsidRDefault="00413BFF" w:rsidP="00413BFF">
      <w:pPr>
        <w:tabs>
          <w:tab w:val="left" w:pos="2257"/>
        </w:tabs>
        <w:suppressAutoHyphens/>
        <w:rPr>
          <w:bCs/>
        </w:rPr>
      </w:pPr>
      <w:r w:rsidRPr="005A19C9">
        <w:rPr>
          <w:bCs/>
        </w:rPr>
        <w:t xml:space="preserve">  E – mail:</w:t>
      </w:r>
      <w:r w:rsidRPr="005A19C9">
        <w:rPr>
          <w:bCs/>
        </w:rPr>
        <w:tab/>
        <w:t xml:space="preserve"> </w:t>
      </w:r>
    </w:p>
    <w:p w:rsidR="00413BFF" w:rsidRPr="005A19C9" w:rsidRDefault="00413BFF" w:rsidP="00413BFF">
      <w:pPr>
        <w:tabs>
          <w:tab w:val="left" w:pos="2257"/>
        </w:tabs>
        <w:suppressAutoHyphens/>
        <w:ind w:left="118"/>
        <w:rPr>
          <w:bCs/>
        </w:rPr>
      </w:pPr>
      <w:r w:rsidRPr="005A19C9">
        <w:rPr>
          <w:bCs/>
        </w:rPr>
        <w:t>IČO:</w:t>
      </w:r>
      <w:r w:rsidRPr="005A19C9">
        <w:rPr>
          <w:bCs/>
        </w:rPr>
        <w:tab/>
      </w:r>
    </w:p>
    <w:p w:rsidR="00413BFF" w:rsidRPr="005A19C9" w:rsidRDefault="00413BFF" w:rsidP="00413BFF">
      <w:pPr>
        <w:tabs>
          <w:tab w:val="left" w:pos="2257"/>
        </w:tabs>
        <w:suppressAutoHyphens/>
        <w:ind w:left="118"/>
        <w:rPr>
          <w:bCs/>
        </w:rPr>
      </w:pPr>
      <w:r w:rsidRPr="005A19C9">
        <w:rPr>
          <w:bCs/>
        </w:rPr>
        <w:t>IČ DPH:</w:t>
      </w:r>
      <w:r w:rsidRPr="005A19C9">
        <w:rPr>
          <w:bCs/>
        </w:rPr>
        <w:tab/>
      </w:r>
    </w:p>
    <w:p w:rsidR="00413BFF" w:rsidRPr="005A19C9" w:rsidRDefault="00413BFF" w:rsidP="00413BFF">
      <w:pPr>
        <w:tabs>
          <w:tab w:val="left" w:pos="2257"/>
        </w:tabs>
        <w:suppressAutoHyphens/>
        <w:ind w:left="118"/>
        <w:rPr>
          <w:bCs/>
        </w:rPr>
      </w:pPr>
      <w:r w:rsidRPr="005A19C9">
        <w:rPr>
          <w:bCs/>
        </w:rPr>
        <w:t>Bankové spojenie:</w:t>
      </w:r>
      <w:r w:rsidRPr="005A19C9">
        <w:rPr>
          <w:bCs/>
        </w:rPr>
        <w:tab/>
      </w:r>
    </w:p>
    <w:p w:rsidR="00413BFF" w:rsidRPr="005A19C9" w:rsidRDefault="00413BFF" w:rsidP="00413BFF">
      <w:pPr>
        <w:tabs>
          <w:tab w:val="left" w:pos="2257"/>
        </w:tabs>
        <w:suppressAutoHyphens/>
        <w:ind w:left="118"/>
        <w:rPr>
          <w:bCs/>
        </w:rPr>
      </w:pPr>
      <w:r w:rsidRPr="005A19C9">
        <w:rPr>
          <w:bCs/>
        </w:rPr>
        <w:t xml:space="preserve">IBAN: </w:t>
      </w:r>
      <w:r w:rsidRPr="005A19C9">
        <w:rPr>
          <w:bCs/>
        </w:rPr>
        <w:tab/>
      </w:r>
    </w:p>
    <w:p w:rsidR="00413BFF" w:rsidRPr="005A19C9" w:rsidRDefault="00413BFF" w:rsidP="00413BFF">
      <w:pPr>
        <w:tabs>
          <w:tab w:val="left" w:pos="2257"/>
        </w:tabs>
        <w:suppressAutoHyphens/>
        <w:ind w:left="118"/>
        <w:rPr>
          <w:bCs/>
        </w:rPr>
      </w:pPr>
      <w:r w:rsidRPr="005A19C9">
        <w:rPr>
          <w:bCs/>
        </w:rPr>
        <w:t>Registrovaná:</w:t>
      </w:r>
      <w:r w:rsidRPr="005A19C9">
        <w:rPr>
          <w:bCs/>
        </w:rPr>
        <w:tab/>
        <w:t xml:space="preserve"> </w:t>
      </w:r>
    </w:p>
    <w:p w:rsidR="00413BFF" w:rsidRPr="005A19C9" w:rsidRDefault="00413BFF" w:rsidP="00413BFF">
      <w:pPr>
        <w:suppressAutoHyphens/>
        <w:spacing w:before="6" w:line="100" w:lineRule="exact"/>
      </w:pPr>
    </w:p>
    <w:p w:rsidR="00413BFF" w:rsidRPr="005A19C9" w:rsidRDefault="00413BFF" w:rsidP="00413BFF">
      <w:pPr>
        <w:suppressAutoHyphens/>
        <w:spacing w:before="6" w:line="100" w:lineRule="exact"/>
      </w:pPr>
    </w:p>
    <w:p w:rsidR="00413BFF" w:rsidRPr="00470F7D" w:rsidRDefault="00413BFF" w:rsidP="00413BFF">
      <w:pPr>
        <w:tabs>
          <w:tab w:val="left" w:pos="1240"/>
        </w:tabs>
      </w:pPr>
      <w:r w:rsidRPr="00470F7D">
        <w:tab/>
      </w:r>
      <w:r w:rsidRPr="00470F7D">
        <w:tab/>
      </w:r>
      <w:r w:rsidRPr="00470F7D">
        <w:tab/>
      </w:r>
    </w:p>
    <w:p w:rsidR="00413BFF" w:rsidRPr="00B60569" w:rsidRDefault="00413BFF" w:rsidP="00413BFF">
      <w:pPr>
        <w:tabs>
          <w:tab w:val="left" w:pos="0"/>
        </w:tabs>
        <w:jc w:val="both"/>
      </w:pPr>
      <w:r w:rsidRPr="00B60569">
        <w:t>(ďalej  len „</w:t>
      </w:r>
      <w:r w:rsidRPr="00DD07FB">
        <w:rPr>
          <w:b/>
        </w:rPr>
        <w:t>Po</w:t>
      </w:r>
      <w:r>
        <w:rPr>
          <w:b/>
        </w:rPr>
        <w:t>skytovateľ</w:t>
      </w:r>
      <w:r w:rsidRPr="00B60569">
        <w:t>“</w:t>
      </w:r>
      <w:r>
        <w:t xml:space="preserve"> alebo vo vzťahu k Poistníkom ako „</w:t>
      </w:r>
      <w:r w:rsidRPr="00224991">
        <w:rPr>
          <w:b/>
        </w:rPr>
        <w:t>Pois</w:t>
      </w:r>
      <w:r>
        <w:rPr>
          <w:b/>
        </w:rPr>
        <w:t>ťovateľ</w:t>
      </w:r>
      <w:r w:rsidRPr="00A6084F">
        <w:t>,</w:t>
      </w:r>
      <w:r>
        <w:t xml:space="preserve"> podľa Občianskeho zákonníka „Poistiteľ“</w:t>
      </w:r>
      <w:r w:rsidRPr="00A6084F">
        <w:t xml:space="preserve"> </w:t>
      </w:r>
      <w:r w:rsidRPr="00B60569">
        <w:t>)</w:t>
      </w:r>
    </w:p>
    <w:p w:rsidR="00E42699" w:rsidRDefault="00E42699" w:rsidP="00E42699">
      <w:pPr>
        <w:jc w:val="center"/>
        <w:rPr>
          <w:b/>
          <w:bCs/>
        </w:rPr>
      </w:pPr>
    </w:p>
    <w:p w:rsidR="00413BFF" w:rsidRPr="005C076C" w:rsidRDefault="00413BFF" w:rsidP="00413BFF">
      <w:pPr>
        <w:tabs>
          <w:tab w:val="left" w:pos="0"/>
        </w:tabs>
        <w:jc w:val="both"/>
      </w:pPr>
      <w:r w:rsidRPr="005C076C">
        <w:t xml:space="preserve">uzatvárajú v súlade s ustanoveniami </w:t>
      </w:r>
      <w:r w:rsidRPr="005C076C">
        <w:rPr>
          <w:bCs/>
          <w:color w:val="000000"/>
        </w:rPr>
        <w:t xml:space="preserve">Zákona č. 343/2015 </w:t>
      </w:r>
      <w:r w:rsidRPr="005C076C">
        <w:t xml:space="preserve">Z. z. </w:t>
      </w:r>
      <w:r w:rsidRPr="005C076C">
        <w:rPr>
          <w:bCs/>
          <w:color w:val="000000"/>
        </w:rPr>
        <w:t xml:space="preserve">o verejnom obstarávaní a o  zmene  a doplnení niektorých  zákonov v znení neskorších predpisov (ďalej len „zákon o VO“) a  v zmysle ustanovení zák. 513/1991 Zb. Obchodného zákonníka a to § 262 a § 269 ods. 2 a s použitím ustanovení zák. č. 40/1964 Zb. Občianskeho zákonníka a to § 788 a následne a v zmysle príslušných poistných podmienok a zmluvných dojednaní predmetnej rámcovej </w:t>
      </w:r>
      <w:r w:rsidRPr="005C076C">
        <w:rPr>
          <w:bCs/>
        </w:rPr>
        <w:t>dohody túto rámcovú dohodu o poskytnutí poisťovacích služieb</w:t>
      </w:r>
      <w:r w:rsidRPr="005C076C">
        <w:rPr>
          <w:bCs/>
          <w:color w:val="000000"/>
        </w:rPr>
        <w:t xml:space="preserve"> (ďalej len „</w:t>
      </w:r>
      <w:r w:rsidRPr="005C076C">
        <w:rPr>
          <w:b/>
          <w:bCs/>
          <w:color w:val="000000"/>
        </w:rPr>
        <w:t>Rámcová dohoda</w:t>
      </w:r>
      <w:r w:rsidRPr="005C076C">
        <w:rPr>
          <w:bCs/>
          <w:color w:val="000000"/>
        </w:rPr>
        <w:t>“).</w:t>
      </w:r>
    </w:p>
    <w:p w:rsidR="00413BFF" w:rsidRDefault="00413BFF" w:rsidP="00413BFF">
      <w:pPr>
        <w:rPr>
          <w:b/>
        </w:rPr>
      </w:pPr>
    </w:p>
    <w:p w:rsidR="00413BFF" w:rsidRDefault="00413BFF" w:rsidP="00413BFF">
      <w:pPr>
        <w:jc w:val="center"/>
        <w:rPr>
          <w:b/>
          <w:bCs/>
        </w:rPr>
      </w:pPr>
    </w:p>
    <w:p w:rsidR="00413BFF" w:rsidRDefault="00413BFF" w:rsidP="00413BFF">
      <w:pPr>
        <w:jc w:val="center"/>
        <w:rPr>
          <w:b/>
          <w:bCs/>
        </w:rPr>
      </w:pPr>
    </w:p>
    <w:p w:rsidR="00413BFF" w:rsidRDefault="00413BFF" w:rsidP="00413BFF">
      <w:pPr>
        <w:jc w:val="center"/>
        <w:rPr>
          <w:b/>
          <w:bCs/>
        </w:rPr>
      </w:pPr>
    </w:p>
    <w:p w:rsidR="00413BFF" w:rsidRPr="001463B9" w:rsidRDefault="00413BFF" w:rsidP="00413BFF">
      <w:pPr>
        <w:jc w:val="center"/>
        <w:rPr>
          <w:b/>
          <w:bCs/>
        </w:rPr>
      </w:pPr>
      <w:r w:rsidRPr="001463B9">
        <w:rPr>
          <w:b/>
          <w:bCs/>
        </w:rPr>
        <w:t>Článok I.</w:t>
      </w:r>
    </w:p>
    <w:p w:rsidR="00413BFF" w:rsidRPr="00CA3FC1" w:rsidRDefault="00413BFF" w:rsidP="00413BFF">
      <w:pPr>
        <w:jc w:val="center"/>
        <w:rPr>
          <w:b/>
          <w:bCs/>
        </w:rPr>
      </w:pPr>
      <w:r w:rsidRPr="00CA3FC1">
        <w:rPr>
          <w:b/>
          <w:bCs/>
        </w:rPr>
        <w:t xml:space="preserve">Predmet </w:t>
      </w:r>
      <w:r>
        <w:rPr>
          <w:b/>
          <w:bCs/>
        </w:rPr>
        <w:t>R</w:t>
      </w:r>
      <w:r w:rsidRPr="00CA3FC1">
        <w:rPr>
          <w:b/>
          <w:bCs/>
        </w:rPr>
        <w:t>ámcovej dohody</w:t>
      </w:r>
    </w:p>
    <w:p w:rsidR="00413BFF" w:rsidRPr="00CA3FC1" w:rsidRDefault="00413BFF" w:rsidP="00413BFF">
      <w:pPr>
        <w:jc w:val="both"/>
        <w:rPr>
          <w:b/>
          <w:bCs/>
          <w:iCs/>
          <w:u w:val="single"/>
        </w:rPr>
      </w:pPr>
    </w:p>
    <w:p w:rsidR="00413BFF" w:rsidRPr="00586C12" w:rsidRDefault="00413BFF" w:rsidP="00413BFF">
      <w:pPr>
        <w:numPr>
          <w:ilvl w:val="0"/>
          <w:numId w:val="16"/>
        </w:numPr>
        <w:ind w:left="426" w:hanging="426"/>
        <w:contextualSpacing/>
        <w:jc w:val="both"/>
      </w:pPr>
      <w:r w:rsidRPr="00F7682A">
        <w:rPr>
          <w:color w:val="000000"/>
        </w:rPr>
        <w:t xml:space="preserve">Predmetom tejto Rámcovej dohody je </w:t>
      </w:r>
      <w:r>
        <w:rPr>
          <w:color w:val="000000"/>
        </w:rPr>
        <w:t>p</w:t>
      </w:r>
      <w:r w:rsidRPr="00713400">
        <w:t>o</w:t>
      </w:r>
      <w:r>
        <w:t>vinne zmluvné poistenie zodpovednosti za škodu spôsobenú v súvislosti s poskytovaním zdravotnej starostlivosti pre nemocnice v zriaďovateľskej pôsobnosti Trenčianskeho samosprávneho kraja - Nemocnicu s poliklinikou Prievidza so sídlom v Bojniciach, Nemocnicu s poliklinikou Myjava, Nemocnicu s poliklinikou Považská Bystrica</w:t>
      </w:r>
      <w:r w:rsidRPr="00586C12">
        <w:rPr>
          <w:spacing w:val="-2"/>
        </w:rPr>
        <w:t xml:space="preserve"> </w:t>
      </w:r>
      <w:r w:rsidRPr="00713400">
        <w:t xml:space="preserve">na </w:t>
      </w:r>
      <w:r w:rsidRPr="00586C12">
        <w:rPr>
          <w:spacing w:val="-2"/>
        </w:rPr>
        <w:t>obdobie od 01.01.2019 do 31.12.2022</w:t>
      </w:r>
      <w:r w:rsidRPr="00713400">
        <w:t>.</w:t>
      </w:r>
    </w:p>
    <w:p w:rsidR="00413BFF" w:rsidRPr="00586C12" w:rsidRDefault="00413BFF" w:rsidP="00413BFF">
      <w:pPr>
        <w:ind w:left="426"/>
        <w:contextualSpacing/>
        <w:jc w:val="both"/>
      </w:pPr>
    </w:p>
    <w:p w:rsidR="00413BFF" w:rsidRPr="00F7682A" w:rsidRDefault="00413BFF" w:rsidP="00413BFF">
      <w:pPr>
        <w:numPr>
          <w:ilvl w:val="0"/>
          <w:numId w:val="16"/>
        </w:numPr>
        <w:ind w:left="426" w:hanging="426"/>
        <w:contextualSpacing/>
        <w:jc w:val="both"/>
        <w:rPr>
          <w:iCs/>
        </w:rPr>
      </w:pPr>
      <w:r w:rsidRPr="00F7682A">
        <w:rPr>
          <w:iCs/>
        </w:rPr>
        <w:t>Poskytovateľ sa za týmto účelom zaväzuje v súlade s podmienkami tejto Rámcovej dohody a v rámci jej platnosti uzavrieť s Poistníkom čiastkové Poistné zmluvy (ďalej len „</w:t>
      </w:r>
      <w:r w:rsidRPr="00F7682A">
        <w:rPr>
          <w:b/>
          <w:iCs/>
        </w:rPr>
        <w:t>Poistné zmluvy</w:t>
      </w:r>
      <w:r w:rsidRPr="00F7682A">
        <w:rPr>
          <w:iCs/>
        </w:rPr>
        <w:t>“), predmetom ktorých bude poistenie definované v čl. II. Predmet a rozsah poistenia.</w:t>
      </w:r>
    </w:p>
    <w:p w:rsidR="00413BFF" w:rsidRPr="00F7682A" w:rsidRDefault="00413BFF" w:rsidP="00413BFF">
      <w:pPr>
        <w:tabs>
          <w:tab w:val="left" w:pos="180"/>
        </w:tabs>
        <w:ind w:left="720"/>
        <w:jc w:val="both"/>
        <w:rPr>
          <w:iCs/>
        </w:rPr>
      </w:pPr>
    </w:p>
    <w:p w:rsidR="00413BFF" w:rsidRPr="00F7682A" w:rsidRDefault="00413BFF" w:rsidP="00413BFF">
      <w:pPr>
        <w:numPr>
          <w:ilvl w:val="0"/>
          <w:numId w:val="16"/>
        </w:numPr>
        <w:ind w:left="426" w:hanging="426"/>
        <w:contextualSpacing/>
        <w:jc w:val="both"/>
        <w:rPr>
          <w:iCs/>
        </w:rPr>
      </w:pPr>
      <w:r w:rsidRPr="00F7682A">
        <w:rPr>
          <w:iCs/>
        </w:rPr>
        <w:t>Poistné zmluvy budú uzavreté na základe výzvy (požiadavky) Poistníka.</w:t>
      </w:r>
    </w:p>
    <w:p w:rsidR="00413BFF" w:rsidRPr="00F7682A" w:rsidRDefault="00413BFF" w:rsidP="00413BFF">
      <w:pPr>
        <w:spacing w:after="160" w:line="259" w:lineRule="auto"/>
        <w:ind w:left="720"/>
        <w:contextualSpacing/>
        <w:rPr>
          <w:iCs/>
        </w:rPr>
      </w:pPr>
    </w:p>
    <w:p w:rsidR="00413BFF" w:rsidRPr="00F7682A" w:rsidRDefault="00413BFF" w:rsidP="00413BFF">
      <w:pPr>
        <w:numPr>
          <w:ilvl w:val="0"/>
          <w:numId w:val="16"/>
        </w:numPr>
        <w:ind w:left="426" w:hanging="426"/>
        <w:contextualSpacing/>
        <w:jc w:val="both"/>
        <w:rPr>
          <w:iCs/>
        </w:rPr>
      </w:pPr>
      <w:r w:rsidRPr="00F7682A">
        <w:rPr>
          <w:iCs/>
        </w:rPr>
        <w:t>„</w:t>
      </w:r>
      <w:r w:rsidRPr="00F7682A">
        <w:rPr>
          <w:b/>
          <w:iCs/>
        </w:rPr>
        <w:t>Poisteným</w:t>
      </w:r>
      <w:r w:rsidRPr="00F7682A">
        <w:rPr>
          <w:iCs/>
        </w:rPr>
        <w:t xml:space="preserve">“ je v zmysle Občianskeho zákonníka okrem Poistníka aj ten, na ktorého sa po podpísaní Poistnej zmluvy poistenie vzťahuje.  </w:t>
      </w:r>
    </w:p>
    <w:p w:rsidR="00413BFF" w:rsidRDefault="00413BFF" w:rsidP="00413BFF">
      <w:pPr>
        <w:pStyle w:val="Zkladntext2"/>
        <w:tabs>
          <w:tab w:val="left" w:pos="180"/>
        </w:tabs>
        <w:ind w:left="720"/>
        <w:jc w:val="both"/>
        <w:rPr>
          <w:iCs/>
          <w:color w:val="000000"/>
        </w:rPr>
      </w:pPr>
    </w:p>
    <w:p w:rsidR="00413BFF" w:rsidRDefault="00413BFF" w:rsidP="00413BFF">
      <w:pPr>
        <w:pStyle w:val="Zkladntext2"/>
        <w:tabs>
          <w:tab w:val="left" w:pos="180"/>
        </w:tabs>
        <w:ind w:left="720"/>
        <w:jc w:val="both"/>
        <w:rPr>
          <w:iCs/>
          <w:color w:val="000000"/>
        </w:rPr>
      </w:pPr>
    </w:p>
    <w:p w:rsidR="00413BFF" w:rsidRPr="00CA3FC1" w:rsidRDefault="00413BFF" w:rsidP="00413BFF">
      <w:pPr>
        <w:pStyle w:val="Zkladntext2"/>
        <w:tabs>
          <w:tab w:val="left" w:pos="180"/>
        </w:tabs>
        <w:ind w:left="720"/>
        <w:jc w:val="both"/>
        <w:rPr>
          <w:iCs/>
          <w:color w:val="000000"/>
        </w:rPr>
      </w:pPr>
    </w:p>
    <w:p w:rsidR="00413BFF" w:rsidRPr="00CA3FC1" w:rsidRDefault="00413BFF" w:rsidP="00413BFF">
      <w:pPr>
        <w:pStyle w:val="Odsekzoznamu"/>
        <w:jc w:val="both"/>
      </w:pPr>
    </w:p>
    <w:p w:rsidR="00413BFF" w:rsidRPr="001463B9" w:rsidRDefault="00413BFF" w:rsidP="00413BFF">
      <w:pPr>
        <w:jc w:val="center"/>
        <w:rPr>
          <w:b/>
          <w:bCs/>
        </w:rPr>
      </w:pPr>
      <w:r w:rsidRPr="001463B9">
        <w:rPr>
          <w:b/>
        </w:rPr>
        <w:t>Článok II.</w:t>
      </w:r>
    </w:p>
    <w:p w:rsidR="00413BFF" w:rsidRPr="00E42699" w:rsidRDefault="00413BFF" w:rsidP="00E42699">
      <w:pPr>
        <w:pStyle w:val="Nadpis1"/>
        <w:numPr>
          <w:ilvl w:val="0"/>
          <w:numId w:val="0"/>
        </w:numPr>
        <w:shd w:val="clear" w:color="auto" w:fill="auto"/>
        <w:jc w:val="center"/>
        <w:rPr>
          <w:color w:val="auto"/>
          <w:szCs w:val="24"/>
        </w:rPr>
      </w:pPr>
      <w:r w:rsidRPr="00E42699">
        <w:rPr>
          <w:color w:val="auto"/>
          <w:szCs w:val="24"/>
        </w:rPr>
        <w:t>Predmet a rozsah poistenia</w:t>
      </w:r>
    </w:p>
    <w:p w:rsidR="00413BFF" w:rsidRPr="00E42699" w:rsidRDefault="00413BFF" w:rsidP="00E42699">
      <w:pPr>
        <w:jc w:val="center"/>
      </w:pPr>
    </w:p>
    <w:p w:rsidR="00413BFF" w:rsidRPr="00D71ACB" w:rsidRDefault="00413BFF" w:rsidP="00413BFF">
      <w:pPr>
        <w:spacing w:line="280" w:lineRule="exact"/>
        <w:jc w:val="both"/>
        <w:rPr>
          <w:bCs/>
        </w:rPr>
      </w:pPr>
      <w:r w:rsidRPr="00D71ACB">
        <w:rPr>
          <w:bCs/>
        </w:rPr>
        <w:t>Činnosti poistených subjektov sú všetky činnosti v súlade so zákonom č. 578/2004 Z. z. o poskytovateľoch zdravotnej starostlivosti, zdravotníckych pracovníkoch, stavovských organizáciách v zdravotníctve a o zmene a doplnení niektorých zákonov v znení neskorších predpisov, zákonom č.  576/2004 Z. z. o zdravotnej starostlivosti, službách súvisiacich s poskytovaním zdravotnej starostlivosti a o zmene a doplnení niektorých zákonov, zákonom č. 362/2011 Z. z. o liekoch a zdravotníckych pomôckach a o zmene a doplnení niektorých zákonov a v súlade so všetkými súvisiacimi právnymi predpismi a  výkon dopravnej zdravotnej služby.</w:t>
      </w:r>
    </w:p>
    <w:p w:rsidR="00413BFF" w:rsidRPr="00D71ACB" w:rsidRDefault="00413BFF" w:rsidP="00413BFF">
      <w:pPr>
        <w:pStyle w:val="Zkladntext"/>
        <w:spacing w:line="280" w:lineRule="exact"/>
        <w:rPr>
          <w:b/>
          <w:u w:val="single"/>
        </w:rPr>
      </w:pPr>
    </w:p>
    <w:p w:rsidR="00413BFF" w:rsidRPr="00D71ACB" w:rsidRDefault="00413BFF" w:rsidP="00413BFF">
      <w:pPr>
        <w:pStyle w:val="Zkladntext"/>
        <w:spacing w:line="280" w:lineRule="exact"/>
        <w:rPr>
          <w:u w:val="single"/>
        </w:rPr>
      </w:pPr>
      <w:r w:rsidRPr="00D71ACB">
        <w:rPr>
          <w:u w:val="single"/>
        </w:rPr>
        <w:t>Požadovaný  rozsah poistenia  zodpovednosti za škodu spôsobenú alebo vyplývajúcu z poskytovania zdravotnej starostlivosti</w:t>
      </w:r>
      <w:r w:rsidRPr="00D71ACB">
        <w:t>:</w:t>
      </w:r>
    </w:p>
    <w:p w:rsidR="00413BFF" w:rsidRPr="00D71ACB" w:rsidRDefault="00413BFF" w:rsidP="00413BFF">
      <w:pPr>
        <w:spacing w:line="280" w:lineRule="exact"/>
        <w:jc w:val="both"/>
      </w:pPr>
    </w:p>
    <w:p w:rsidR="00413BFF" w:rsidRPr="00D71ACB" w:rsidRDefault="00413BFF" w:rsidP="00413BFF">
      <w:pPr>
        <w:numPr>
          <w:ilvl w:val="0"/>
          <w:numId w:val="24"/>
        </w:numPr>
        <w:tabs>
          <w:tab w:val="clear" w:pos="709"/>
          <w:tab w:val="clear" w:pos="1066"/>
          <w:tab w:val="clear" w:pos="1423"/>
          <w:tab w:val="clear" w:pos="1780"/>
          <w:tab w:val="clear" w:pos="2138"/>
          <w:tab w:val="clear" w:pos="2495"/>
          <w:tab w:val="clear" w:pos="2852"/>
        </w:tabs>
        <w:autoSpaceDE w:val="0"/>
        <w:autoSpaceDN w:val="0"/>
        <w:spacing w:line="276" w:lineRule="auto"/>
        <w:jc w:val="both"/>
      </w:pPr>
      <w:r w:rsidRPr="00D71ACB">
        <w:t>Z poistenia zodpovednosti za škodu má poistený právo, aby poisťovateľ za neho nahradil škodu spôsobenú poisteným v dôsledku  porušenia povinností pri poskytovaní zdravotnej starostlivosti, pri príležitostnom poskytnutí prvej pomoci v núdzovej situácii ohrozenia života ľudí, alebo pri výkone dopravnej zdravotnej služby, za ktorú poistený zodpovedá v zmysle všeobecne záväzných právnych predpisov.</w:t>
      </w:r>
    </w:p>
    <w:p w:rsidR="00413BFF" w:rsidRPr="00D71ACB" w:rsidRDefault="00413BFF" w:rsidP="00413BFF">
      <w:pPr>
        <w:spacing w:line="276" w:lineRule="auto"/>
        <w:ind w:left="360"/>
        <w:jc w:val="both"/>
      </w:pPr>
    </w:p>
    <w:p w:rsidR="00413BFF" w:rsidRPr="00D71ACB" w:rsidRDefault="00413BFF" w:rsidP="00413BFF">
      <w:pPr>
        <w:numPr>
          <w:ilvl w:val="0"/>
          <w:numId w:val="24"/>
        </w:numPr>
        <w:tabs>
          <w:tab w:val="clear" w:pos="709"/>
          <w:tab w:val="clear" w:pos="1066"/>
          <w:tab w:val="clear" w:pos="1423"/>
          <w:tab w:val="clear" w:pos="1780"/>
          <w:tab w:val="clear" w:pos="2138"/>
          <w:tab w:val="clear" w:pos="2495"/>
          <w:tab w:val="clear" w:pos="2852"/>
        </w:tabs>
        <w:autoSpaceDE w:val="0"/>
        <w:autoSpaceDN w:val="0"/>
        <w:spacing w:line="276" w:lineRule="auto"/>
        <w:jc w:val="both"/>
      </w:pPr>
      <w:r w:rsidRPr="00D71ACB">
        <w:t>Toto poistenie sa vzťahuje na také škody, za ktoré poistený zodpovedá v dôsledku svojho konania a za škody spôsobené okolnosťami, ktoré majú pôvod v povahe prístroja alebo inej veci, ktorá bola pri plnení záväzku použitá.</w:t>
      </w:r>
    </w:p>
    <w:p w:rsidR="00413BFF" w:rsidRPr="00D71ACB" w:rsidRDefault="00413BFF" w:rsidP="00413BFF">
      <w:pPr>
        <w:spacing w:line="276" w:lineRule="auto"/>
        <w:ind w:left="360"/>
        <w:jc w:val="both"/>
      </w:pPr>
    </w:p>
    <w:p w:rsidR="00413BFF" w:rsidRPr="00D71ACB" w:rsidRDefault="00413BFF" w:rsidP="00413BFF">
      <w:pPr>
        <w:numPr>
          <w:ilvl w:val="0"/>
          <w:numId w:val="24"/>
        </w:numPr>
        <w:tabs>
          <w:tab w:val="clear" w:pos="709"/>
          <w:tab w:val="clear" w:pos="1066"/>
          <w:tab w:val="clear" w:pos="1423"/>
          <w:tab w:val="clear" w:pos="1780"/>
          <w:tab w:val="clear" w:pos="2138"/>
          <w:tab w:val="clear" w:pos="2495"/>
          <w:tab w:val="clear" w:pos="2852"/>
        </w:tabs>
        <w:autoSpaceDE w:val="0"/>
        <w:autoSpaceDN w:val="0"/>
        <w:spacing w:line="276" w:lineRule="auto"/>
        <w:jc w:val="both"/>
      </w:pPr>
      <w:r w:rsidRPr="00D71ACB">
        <w:lastRenderedPageBreak/>
        <w:t>Poistený má právo, aby poisťovňa za  neho nahradila škodu , ktorá vznikla tretej osobe</w:t>
      </w:r>
    </w:p>
    <w:p w:rsidR="00413BFF" w:rsidRPr="00D71ACB" w:rsidRDefault="00413BFF" w:rsidP="00413BFF">
      <w:pPr>
        <w:numPr>
          <w:ilvl w:val="0"/>
          <w:numId w:val="25"/>
        </w:numPr>
        <w:tabs>
          <w:tab w:val="clear" w:pos="1066"/>
          <w:tab w:val="clear" w:pos="1423"/>
          <w:tab w:val="clear" w:pos="1780"/>
          <w:tab w:val="clear" w:pos="2138"/>
          <w:tab w:val="clear" w:pos="2495"/>
          <w:tab w:val="clear" w:pos="2852"/>
        </w:tabs>
        <w:autoSpaceDE w:val="0"/>
        <w:autoSpaceDN w:val="0"/>
        <w:spacing w:line="276" w:lineRule="auto"/>
        <w:jc w:val="both"/>
      </w:pPr>
      <w:r w:rsidRPr="00D71ACB">
        <w:t>na zdraví alebo živote,</w:t>
      </w:r>
    </w:p>
    <w:p w:rsidR="00413BFF" w:rsidRPr="00D71ACB" w:rsidRDefault="00413BFF" w:rsidP="00413BFF">
      <w:pPr>
        <w:numPr>
          <w:ilvl w:val="0"/>
          <w:numId w:val="25"/>
        </w:numPr>
        <w:tabs>
          <w:tab w:val="clear" w:pos="1066"/>
          <w:tab w:val="clear" w:pos="1423"/>
          <w:tab w:val="clear" w:pos="1780"/>
          <w:tab w:val="clear" w:pos="2138"/>
          <w:tab w:val="clear" w:pos="2495"/>
          <w:tab w:val="clear" w:pos="2852"/>
        </w:tabs>
        <w:autoSpaceDE w:val="0"/>
        <w:autoSpaceDN w:val="0"/>
        <w:spacing w:line="276" w:lineRule="auto"/>
        <w:jc w:val="both"/>
      </w:pPr>
      <w:r w:rsidRPr="00D71ACB">
        <w:t>poškodením alebo zničením veci,</w:t>
      </w:r>
    </w:p>
    <w:p w:rsidR="00413BFF" w:rsidRPr="00D71ACB" w:rsidRDefault="00413BFF" w:rsidP="00413BFF">
      <w:pPr>
        <w:numPr>
          <w:ilvl w:val="0"/>
          <w:numId w:val="25"/>
        </w:numPr>
        <w:tabs>
          <w:tab w:val="clear" w:pos="1066"/>
          <w:tab w:val="clear" w:pos="1423"/>
          <w:tab w:val="clear" w:pos="1780"/>
          <w:tab w:val="clear" w:pos="2138"/>
          <w:tab w:val="clear" w:pos="2495"/>
          <w:tab w:val="clear" w:pos="2852"/>
        </w:tabs>
        <w:autoSpaceDE w:val="0"/>
        <w:autoSpaceDN w:val="0"/>
        <w:spacing w:line="276" w:lineRule="auto"/>
        <w:jc w:val="both"/>
      </w:pPr>
      <w:r w:rsidRPr="00D71ACB">
        <w:t>inou  majetkovou  škodou súvisiacou so škodou  na zdraví, na živote a na veci,</w:t>
      </w:r>
    </w:p>
    <w:p w:rsidR="00413BFF" w:rsidRDefault="00413BFF" w:rsidP="00413BFF">
      <w:pPr>
        <w:numPr>
          <w:ilvl w:val="0"/>
          <w:numId w:val="25"/>
        </w:numPr>
        <w:tabs>
          <w:tab w:val="clear" w:pos="1066"/>
          <w:tab w:val="clear" w:pos="1423"/>
          <w:tab w:val="clear" w:pos="1780"/>
          <w:tab w:val="clear" w:pos="2138"/>
          <w:tab w:val="clear" w:pos="2495"/>
          <w:tab w:val="clear" w:pos="2852"/>
        </w:tabs>
        <w:autoSpaceDE w:val="0"/>
        <w:autoSpaceDN w:val="0"/>
        <w:spacing w:line="276" w:lineRule="auto"/>
        <w:jc w:val="both"/>
      </w:pPr>
      <w:r w:rsidRPr="00D71ACB">
        <w:t>nemajetkovou ujmou v peniazoch vyplývajúcou zo zásahu do práv tretích osôb na ochranu osobnosti.</w:t>
      </w:r>
    </w:p>
    <w:p w:rsidR="00413BFF" w:rsidRPr="00D71ACB" w:rsidRDefault="00413BFF" w:rsidP="00413BFF">
      <w:pPr>
        <w:spacing w:line="276" w:lineRule="auto"/>
        <w:ind w:left="720"/>
        <w:jc w:val="both"/>
      </w:pPr>
    </w:p>
    <w:p w:rsidR="00413BFF" w:rsidRPr="00D71ACB" w:rsidRDefault="00413BFF" w:rsidP="00413BFF">
      <w:pPr>
        <w:autoSpaceDE w:val="0"/>
        <w:autoSpaceDN w:val="0"/>
        <w:spacing w:line="276" w:lineRule="auto"/>
        <w:jc w:val="both"/>
      </w:pPr>
      <w:r>
        <w:t xml:space="preserve">4.   </w:t>
      </w:r>
      <w:r w:rsidRPr="00D71ACB">
        <w:t>Poisťovateľovi vznikne povinnosť poskytnúť poistné plnenie:</w:t>
      </w:r>
    </w:p>
    <w:p w:rsidR="00413BFF" w:rsidRPr="00D71ACB" w:rsidRDefault="00413BFF" w:rsidP="00413BFF">
      <w:pPr>
        <w:numPr>
          <w:ilvl w:val="0"/>
          <w:numId w:val="26"/>
        </w:numPr>
        <w:tabs>
          <w:tab w:val="clear" w:pos="1066"/>
          <w:tab w:val="clear" w:pos="1423"/>
          <w:tab w:val="clear" w:pos="1780"/>
          <w:tab w:val="clear" w:pos="2138"/>
          <w:tab w:val="clear" w:pos="2495"/>
          <w:tab w:val="clear" w:pos="2852"/>
        </w:tabs>
        <w:autoSpaceDE w:val="0"/>
        <w:autoSpaceDN w:val="0"/>
        <w:spacing w:line="276" w:lineRule="auto"/>
        <w:jc w:val="both"/>
      </w:pPr>
      <w:r w:rsidRPr="00D71ACB">
        <w:t xml:space="preserve">ak nárok bol prvýkrát písomne uplatnený voči poistenému a oznámený poisťovateľovi alebo okolnosti, ktoré viedli k vzniku nároku boli prvýkrát oznámené poisťovateľovi počas doby trvania poistenia alebo počas rozšírenej doby možnosti oznámenia nároku a zároveň sa, </w:t>
      </w:r>
    </w:p>
    <w:p w:rsidR="00413BFF" w:rsidRPr="00D71ACB" w:rsidRDefault="00413BFF" w:rsidP="00413BFF">
      <w:pPr>
        <w:numPr>
          <w:ilvl w:val="0"/>
          <w:numId w:val="26"/>
        </w:numPr>
        <w:tabs>
          <w:tab w:val="clear" w:pos="1066"/>
          <w:tab w:val="clear" w:pos="1423"/>
          <w:tab w:val="clear" w:pos="1780"/>
          <w:tab w:val="clear" w:pos="2138"/>
          <w:tab w:val="clear" w:pos="2495"/>
          <w:tab w:val="clear" w:pos="2852"/>
        </w:tabs>
        <w:autoSpaceDE w:val="0"/>
        <w:autoSpaceDN w:val="0"/>
        <w:spacing w:line="276" w:lineRule="auto"/>
        <w:jc w:val="both"/>
      </w:pPr>
      <w:r w:rsidRPr="00D71ACB">
        <w:t>nárok sa vzťahuje na porušenie povinnosti poisteným, ku ktorému došlo pred skončením doby trvania poistenia uvedenej v poistnej zmluve, najskôr však po dátume vzniku poistenia alebo po retroaktívnom dátume. Retroaktívny dátum: 01.07.2007.</w:t>
      </w:r>
    </w:p>
    <w:p w:rsidR="00413BFF" w:rsidRPr="00D71ACB" w:rsidRDefault="00413BFF" w:rsidP="00413BFF">
      <w:pPr>
        <w:spacing w:line="276" w:lineRule="auto"/>
        <w:ind w:left="720"/>
        <w:jc w:val="both"/>
      </w:pPr>
    </w:p>
    <w:p w:rsidR="00413BFF" w:rsidRPr="00D71ACB" w:rsidRDefault="00413BFF" w:rsidP="00413BFF">
      <w:pPr>
        <w:autoSpaceDE w:val="0"/>
        <w:autoSpaceDN w:val="0"/>
        <w:spacing w:line="276" w:lineRule="auto"/>
        <w:ind w:left="468" w:hanging="468"/>
        <w:jc w:val="both"/>
      </w:pPr>
      <w:r>
        <w:t xml:space="preserve">5.   </w:t>
      </w:r>
      <w:r w:rsidRPr="00D71ACB">
        <w:t xml:space="preserve">Za dátum uplatnenia nároku sa považuje deň, kedy poistený </w:t>
      </w:r>
      <w:proofErr w:type="spellStart"/>
      <w:r w:rsidRPr="00D71ACB">
        <w:t>obdržal</w:t>
      </w:r>
      <w:proofErr w:type="spellEnd"/>
      <w:r w:rsidRPr="00D71ACB">
        <w:t xml:space="preserve"> od poškodeného prvýkrát písomné oznámenie o nároku.</w:t>
      </w:r>
    </w:p>
    <w:p w:rsidR="00413BFF" w:rsidRPr="00D71ACB" w:rsidRDefault="00413BFF" w:rsidP="00413BFF">
      <w:pPr>
        <w:spacing w:line="276" w:lineRule="auto"/>
        <w:ind w:left="468"/>
        <w:jc w:val="both"/>
      </w:pPr>
    </w:p>
    <w:p w:rsidR="00413BFF" w:rsidRPr="00D71ACB" w:rsidRDefault="00413BFF" w:rsidP="00413BFF">
      <w:pPr>
        <w:autoSpaceDE w:val="0"/>
        <w:autoSpaceDN w:val="0"/>
        <w:spacing w:line="276" w:lineRule="auto"/>
        <w:ind w:left="426" w:hanging="426"/>
        <w:jc w:val="both"/>
      </w:pPr>
      <w:r>
        <w:t>6.</w:t>
      </w:r>
      <w:r>
        <w:tab/>
      </w:r>
      <w:r w:rsidRPr="00D71ACB">
        <w:t>Za dátum uplatnenia všetkých nárokov vyplývajúcich zo škody spôsobenej jednej a tej istej osobe bude považovaný dátum uplatnenia  prvého z týchto nárokov voči poistenému.</w:t>
      </w:r>
    </w:p>
    <w:p w:rsidR="00413BFF" w:rsidRPr="00D71ACB" w:rsidRDefault="00413BFF" w:rsidP="00413BFF">
      <w:pPr>
        <w:spacing w:line="276" w:lineRule="auto"/>
        <w:ind w:left="468"/>
        <w:jc w:val="both"/>
      </w:pPr>
    </w:p>
    <w:p w:rsidR="00413BFF" w:rsidRPr="00D71ACB" w:rsidRDefault="00413BFF" w:rsidP="00413BFF">
      <w:pPr>
        <w:autoSpaceDE w:val="0"/>
        <w:autoSpaceDN w:val="0"/>
        <w:spacing w:line="276" w:lineRule="auto"/>
        <w:ind w:left="426" w:hanging="426"/>
        <w:jc w:val="both"/>
      </w:pPr>
      <w:r>
        <w:rPr>
          <w:bCs/>
        </w:rPr>
        <w:t xml:space="preserve">7.   </w:t>
      </w:r>
      <w:r w:rsidRPr="00D71ACB">
        <w:rPr>
          <w:bCs/>
        </w:rPr>
        <w:t>Predmet poistenia</w:t>
      </w:r>
      <w:r w:rsidRPr="00D71ACB">
        <w:t>:</w:t>
      </w:r>
    </w:p>
    <w:p w:rsidR="00413BFF" w:rsidRPr="00D71ACB" w:rsidRDefault="00413BFF" w:rsidP="00413BFF">
      <w:pPr>
        <w:spacing w:line="276" w:lineRule="auto"/>
        <w:ind w:left="426" w:hanging="426"/>
        <w:jc w:val="both"/>
      </w:pPr>
      <w:r>
        <w:t xml:space="preserve">      </w:t>
      </w:r>
      <w:r w:rsidRPr="00D71ACB">
        <w:t>Činnosti poistených subjektov sú všetky činnosti v súlade so zákonom č. 578/2004 Z. z. o poskytovateľoch zdravotnej starostlivosti, zdravotníckych pracovníkoch, stavovských organizáciách v zdravotníctve a o zmene a doplnení niektorých zákonov v znení neskorších predpisov, zákonom č.  576/2004 Z. z. o zdravotnej starostlivosti, službách súvisiacich s poskytovaním zdravotnej starostlivosti a o zmene a doplnení niektorých zákonov, zákonom č. 362/2011 Z. z. o liekoch a zdravotníckych pomôckach a o zmene a doplnení niektorých zákonov a v súlade so všetkými súvisiacimi právnymi predpismi a výkon dopravnej zdravotnej služby.</w:t>
      </w:r>
    </w:p>
    <w:p w:rsidR="00413BFF" w:rsidRPr="00D71ACB" w:rsidRDefault="00413BFF" w:rsidP="00413BFF">
      <w:pPr>
        <w:spacing w:line="276" w:lineRule="auto"/>
        <w:ind w:left="567" w:hanging="567"/>
        <w:jc w:val="both"/>
        <w:rPr>
          <w:bCs/>
          <w:noProof/>
        </w:rPr>
      </w:pPr>
    </w:p>
    <w:p w:rsidR="00413BFF" w:rsidRPr="00D71ACB" w:rsidRDefault="00413BFF" w:rsidP="00413BFF">
      <w:pPr>
        <w:autoSpaceDE w:val="0"/>
        <w:autoSpaceDN w:val="0"/>
        <w:spacing w:line="276" w:lineRule="auto"/>
        <w:ind w:left="567" w:hanging="567"/>
        <w:jc w:val="both"/>
        <w:rPr>
          <w:bCs/>
          <w:noProof/>
        </w:rPr>
      </w:pPr>
      <w:r>
        <w:rPr>
          <w:bCs/>
          <w:noProof/>
        </w:rPr>
        <w:t xml:space="preserve">8. </w:t>
      </w:r>
      <w:r>
        <w:rPr>
          <w:bCs/>
          <w:noProof/>
        </w:rPr>
        <w:tab/>
      </w:r>
      <w:r w:rsidRPr="00D71ACB">
        <w:rPr>
          <w:bCs/>
          <w:noProof/>
        </w:rPr>
        <w:t>Poistenie zodpovednosti  sa ďalej vzťahuje aj na škody:</w:t>
      </w:r>
    </w:p>
    <w:p w:rsidR="00413BFF" w:rsidRPr="00D71ACB" w:rsidRDefault="00413BFF" w:rsidP="00413BFF">
      <w:pPr>
        <w:numPr>
          <w:ilvl w:val="1"/>
          <w:numId w:val="28"/>
        </w:numPr>
        <w:tabs>
          <w:tab w:val="clear" w:pos="709"/>
          <w:tab w:val="clear" w:pos="1066"/>
          <w:tab w:val="clear" w:pos="1423"/>
          <w:tab w:val="clear" w:pos="1780"/>
          <w:tab w:val="clear" w:pos="2138"/>
          <w:tab w:val="clear" w:pos="2495"/>
          <w:tab w:val="clear" w:pos="2852"/>
        </w:tabs>
        <w:autoSpaceDE w:val="0"/>
        <w:autoSpaceDN w:val="0"/>
        <w:spacing w:line="276" w:lineRule="auto"/>
        <w:ind w:left="567" w:hanging="283"/>
        <w:jc w:val="both"/>
        <w:rPr>
          <w:bCs/>
          <w:noProof/>
        </w:rPr>
      </w:pPr>
      <w:r w:rsidRPr="00D71ACB">
        <w:rPr>
          <w:noProof/>
        </w:rPr>
        <w:t>regresné náhrady zdravotných poisťovní a Sociálnej poisťovne (nárok na úhradu za poskytnutú zdravotnú starostlivosť alebo nárok na náhradu vyplatených dávok) uplatnené v dôsledku porušenia povinnosti poisteného, ktorým bola spôsobená škoda na zdraví tretích osôb,</w:t>
      </w:r>
    </w:p>
    <w:p w:rsidR="00413BFF" w:rsidRPr="00D71ACB" w:rsidRDefault="00413BFF" w:rsidP="00413BFF">
      <w:pPr>
        <w:numPr>
          <w:ilvl w:val="1"/>
          <w:numId w:val="28"/>
        </w:numPr>
        <w:tabs>
          <w:tab w:val="clear" w:pos="709"/>
          <w:tab w:val="clear" w:pos="1066"/>
          <w:tab w:val="clear" w:pos="1423"/>
          <w:tab w:val="clear" w:pos="1780"/>
          <w:tab w:val="clear" w:pos="2138"/>
          <w:tab w:val="clear" w:pos="2495"/>
          <w:tab w:val="clear" w:pos="2852"/>
        </w:tabs>
        <w:autoSpaceDE w:val="0"/>
        <w:autoSpaceDN w:val="0"/>
        <w:spacing w:line="276" w:lineRule="auto"/>
        <w:ind w:left="567" w:hanging="283"/>
        <w:jc w:val="both"/>
        <w:rPr>
          <w:bCs/>
          <w:noProof/>
        </w:rPr>
      </w:pPr>
      <w:r w:rsidRPr="00D71ACB">
        <w:rPr>
          <w:noProof/>
        </w:rPr>
        <w:t>aplikáciou akéhokoľvek ionizujúceho žiarenia používaného výhradne v súvislosti s poskytovaním zdravotnej starostlivosti,</w:t>
      </w:r>
    </w:p>
    <w:p w:rsidR="00413BFF" w:rsidRPr="00D71ACB" w:rsidRDefault="00413BFF" w:rsidP="00413BFF">
      <w:pPr>
        <w:numPr>
          <w:ilvl w:val="1"/>
          <w:numId w:val="28"/>
        </w:numPr>
        <w:tabs>
          <w:tab w:val="clear" w:pos="709"/>
          <w:tab w:val="clear" w:pos="1066"/>
          <w:tab w:val="clear" w:pos="1423"/>
          <w:tab w:val="clear" w:pos="1780"/>
          <w:tab w:val="clear" w:pos="2138"/>
          <w:tab w:val="clear" w:pos="2495"/>
          <w:tab w:val="clear" w:pos="2852"/>
        </w:tabs>
        <w:autoSpaceDE w:val="0"/>
        <w:autoSpaceDN w:val="0"/>
        <w:spacing w:line="276" w:lineRule="auto"/>
        <w:ind w:left="567" w:hanging="283"/>
        <w:jc w:val="both"/>
        <w:rPr>
          <w:bCs/>
          <w:noProof/>
        </w:rPr>
      </w:pPr>
      <w:r w:rsidRPr="00D71ACB">
        <w:rPr>
          <w:noProof/>
        </w:rPr>
        <w:t>používanie lekárskych prístrojov pri poskytovaní zdravotnej starostlivosti,</w:t>
      </w:r>
    </w:p>
    <w:p w:rsidR="00413BFF" w:rsidRPr="00D71ACB" w:rsidRDefault="00413BFF" w:rsidP="00413BFF">
      <w:pPr>
        <w:numPr>
          <w:ilvl w:val="1"/>
          <w:numId w:val="28"/>
        </w:numPr>
        <w:tabs>
          <w:tab w:val="clear" w:pos="709"/>
          <w:tab w:val="clear" w:pos="1066"/>
          <w:tab w:val="clear" w:pos="1423"/>
          <w:tab w:val="clear" w:pos="1780"/>
          <w:tab w:val="clear" w:pos="2138"/>
          <w:tab w:val="clear" w:pos="2495"/>
          <w:tab w:val="clear" w:pos="2852"/>
        </w:tabs>
        <w:autoSpaceDE w:val="0"/>
        <w:autoSpaceDN w:val="0"/>
        <w:spacing w:line="276" w:lineRule="auto"/>
        <w:ind w:left="567" w:hanging="283"/>
        <w:jc w:val="both"/>
        <w:rPr>
          <w:bCs/>
          <w:noProof/>
        </w:rPr>
      </w:pPr>
      <w:r w:rsidRPr="00D71ACB">
        <w:rPr>
          <w:noProof/>
        </w:rPr>
        <w:t>z predpisovania liekov v rozsahu povolenom všeobecne záväzným právnym predpisom</w:t>
      </w:r>
    </w:p>
    <w:p w:rsidR="00413BFF" w:rsidRPr="00D71ACB" w:rsidRDefault="00413BFF" w:rsidP="00413BFF">
      <w:pPr>
        <w:pStyle w:val="Odsekzoznamu"/>
        <w:numPr>
          <w:ilvl w:val="1"/>
          <w:numId w:val="28"/>
        </w:numPr>
        <w:autoSpaceDE w:val="0"/>
        <w:autoSpaceDN w:val="0"/>
        <w:spacing w:after="0" w:line="276" w:lineRule="auto"/>
        <w:ind w:left="567" w:hanging="283"/>
        <w:contextualSpacing w:val="0"/>
        <w:rPr>
          <w:bCs/>
          <w:noProof/>
        </w:rPr>
      </w:pPr>
      <w:r w:rsidRPr="00D71ACB">
        <w:rPr>
          <w:bCs/>
          <w:noProof/>
        </w:rPr>
        <w:t>spôsobené hepatitídou, TBC a salmonelózou, nozokomiálnou nákazou a inými infekčnými chorobami</w:t>
      </w:r>
    </w:p>
    <w:p w:rsidR="00413BFF" w:rsidRPr="00D71ACB" w:rsidRDefault="00413BFF" w:rsidP="00413BFF">
      <w:pPr>
        <w:numPr>
          <w:ilvl w:val="1"/>
          <w:numId w:val="28"/>
        </w:numPr>
        <w:tabs>
          <w:tab w:val="clear" w:pos="709"/>
          <w:tab w:val="clear" w:pos="1066"/>
          <w:tab w:val="clear" w:pos="1423"/>
          <w:tab w:val="clear" w:pos="1780"/>
          <w:tab w:val="clear" w:pos="2138"/>
          <w:tab w:val="clear" w:pos="2495"/>
          <w:tab w:val="clear" w:pos="2852"/>
        </w:tabs>
        <w:autoSpaceDE w:val="0"/>
        <w:autoSpaceDN w:val="0"/>
        <w:spacing w:line="276" w:lineRule="auto"/>
        <w:ind w:left="567" w:hanging="283"/>
        <w:jc w:val="both"/>
        <w:rPr>
          <w:bCs/>
          <w:noProof/>
        </w:rPr>
      </w:pPr>
      <w:r w:rsidRPr="00D71ACB">
        <w:t>z aplikácie röntgenových a laserových lúčov, pokiaľ je ich použitie v danom prípade v lekárstve obvyklé</w:t>
      </w:r>
    </w:p>
    <w:p w:rsidR="00413BFF" w:rsidRPr="00D71ACB" w:rsidRDefault="00413BFF" w:rsidP="00413BFF">
      <w:pPr>
        <w:numPr>
          <w:ilvl w:val="1"/>
          <w:numId w:val="28"/>
        </w:numPr>
        <w:tabs>
          <w:tab w:val="clear" w:pos="709"/>
          <w:tab w:val="clear" w:pos="1066"/>
          <w:tab w:val="clear" w:pos="1423"/>
          <w:tab w:val="clear" w:pos="1780"/>
          <w:tab w:val="clear" w:pos="2138"/>
          <w:tab w:val="clear" w:pos="2495"/>
          <w:tab w:val="clear" w:pos="2852"/>
        </w:tabs>
        <w:autoSpaceDE w:val="0"/>
        <w:autoSpaceDN w:val="0"/>
        <w:spacing w:line="276" w:lineRule="auto"/>
        <w:ind w:left="567" w:hanging="283"/>
        <w:jc w:val="both"/>
        <w:rPr>
          <w:bCs/>
          <w:noProof/>
        </w:rPr>
      </w:pPr>
      <w:r w:rsidRPr="00D71ACB">
        <w:rPr>
          <w:bCs/>
          <w:noProof/>
        </w:rPr>
        <w:t>spôsobené prenosom víru HIV a ochorením AIDS</w:t>
      </w:r>
    </w:p>
    <w:p w:rsidR="00413BFF" w:rsidRPr="00D71ACB" w:rsidRDefault="00413BFF" w:rsidP="00413BFF">
      <w:pPr>
        <w:numPr>
          <w:ilvl w:val="1"/>
          <w:numId w:val="28"/>
        </w:numPr>
        <w:tabs>
          <w:tab w:val="clear" w:pos="709"/>
          <w:tab w:val="clear" w:pos="1066"/>
          <w:tab w:val="clear" w:pos="1423"/>
          <w:tab w:val="clear" w:pos="1780"/>
          <w:tab w:val="clear" w:pos="2138"/>
          <w:tab w:val="clear" w:pos="2495"/>
          <w:tab w:val="clear" w:pos="2852"/>
        </w:tabs>
        <w:autoSpaceDE w:val="0"/>
        <w:autoSpaceDN w:val="0"/>
        <w:spacing w:line="276" w:lineRule="auto"/>
        <w:ind w:left="567" w:hanging="283"/>
        <w:jc w:val="both"/>
        <w:rPr>
          <w:bCs/>
          <w:noProof/>
        </w:rPr>
      </w:pPr>
      <w:r w:rsidRPr="00D71ACB">
        <w:rPr>
          <w:bCs/>
          <w:noProof/>
        </w:rPr>
        <w:t xml:space="preserve">spôsobené umelým prerušením tehotenstva, </w:t>
      </w:r>
    </w:p>
    <w:p w:rsidR="00413BFF" w:rsidRPr="00D71ACB" w:rsidRDefault="00413BFF" w:rsidP="00413BFF">
      <w:pPr>
        <w:spacing w:line="276" w:lineRule="auto"/>
        <w:ind w:left="720"/>
        <w:jc w:val="both"/>
        <w:rPr>
          <w:bCs/>
          <w:noProof/>
        </w:rPr>
      </w:pPr>
    </w:p>
    <w:p w:rsidR="00413BFF" w:rsidRPr="00D71ACB" w:rsidRDefault="00413BFF" w:rsidP="00413BFF">
      <w:pPr>
        <w:spacing w:line="276" w:lineRule="auto"/>
        <w:ind w:left="426" w:hanging="426"/>
        <w:jc w:val="both"/>
      </w:pPr>
      <w:r>
        <w:t xml:space="preserve">9. </w:t>
      </w:r>
      <w:r>
        <w:tab/>
      </w:r>
      <w:r w:rsidRPr="00D71ACB">
        <w:t xml:space="preserve">Poistenie sa vzťahuje aj na nároky manželského partnera poisteného, jeho súrodencov, príbuzných v priamom rade a ich manželských partnerov, alebo každej osoby, s ktorou poistený </w:t>
      </w:r>
      <w:r w:rsidRPr="00D71ACB">
        <w:lastRenderedPageBreak/>
        <w:t xml:space="preserve">alebo uvedení rodinní príslušníci žijú v spoločnej domácnosti alebo je ich blízkou osobou, vyplývajúce z poskytovania zdravotnej starostlivosti poistníka. </w:t>
      </w:r>
    </w:p>
    <w:p w:rsidR="00413BFF" w:rsidRPr="00D71ACB" w:rsidRDefault="00413BFF" w:rsidP="00413BFF">
      <w:pPr>
        <w:spacing w:line="276" w:lineRule="auto"/>
        <w:ind w:left="360"/>
        <w:jc w:val="both"/>
      </w:pPr>
    </w:p>
    <w:p w:rsidR="00413BFF" w:rsidRDefault="00413BFF" w:rsidP="00413BFF">
      <w:pPr>
        <w:spacing w:line="276" w:lineRule="auto"/>
        <w:ind w:left="426" w:hanging="426"/>
        <w:jc w:val="both"/>
        <w:rPr>
          <w:bCs/>
        </w:rPr>
      </w:pPr>
      <w:r>
        <w:rPr>
          <w:bCs/>
        </w:rPr>
        <w:t>10.</w:t>
      </w:r>
      <w:r>
        <w:rPr>
          <w:bCs/>
        </w:rPr>
        <w:tab/>
      </w:r>
      <w:r w:rsidRPr="00D71ACB">
        <w:rPr>
          <w:bCs/>
        </w:rPr>
        <w:t xml:space="preserve">Poistenie sa vzťahuje aj na zodpovednosť za škodu spôsobenú neoprávneným zásahom do práva na ochranu osobnosti v súvislosti s poskytovaním zdravotnej starostlivosti, vrátane náhrady nemajetkovej ujmy z dôvodu zásahu do práva na ochranu osobnosti blízkych osôb tej osoby, ktorej  bola spôsobená škoda na zdraví zo strany poisteného, v súvislosti s poskytovaním zdravotnej starostlivosti – náhrada nemajetkovej ujmy.  Pre náhradu nemajetkovej ujmy sa dojednáva </w:t>
      </w:r>
      <w:proofErr w:type="spellStart"/>
      <w:r w:rsidRPr="00D71ACB">
        <w:rPr>
          <w:bCs/>
        </w:rPr>
        <w:t>sublimit</w:t>
      </w:r>
      <w:proofErr w:type="spellEnd"/>
      <w:r w:rsidRPr="00D71ACB">
        <w:rPr>
          <w:bCs/>
        </w:rPr>
        <w:t xml:space="preserve"> vo výške 50.000,- EUR.</w:t>
      </w:r>
    </w:p>
    <w:p w:rsidR="00413BFF" w:rsidRPr="00D71ACB" w:rsidRDefault="00413BFF" w:rsidP="00413BFF">
      <w:pPr>
        <w:spacing w:line="276" w:lineRule="auto"/>
        <w:ind w:left="426" w:hanging="426"/>
        <w:jc w:val="both"/>
      </w:pPr>
    </w:p>
    <w:p w:rsidR="00413BFF" w:rsidRPr="00D71ACB" w:rsidRDefault="00413BFF" w:rsidP="00413BFF">
      <w:pPr>
        <w:spacing w:line="276" w:lineRule="auto"/>
        <w:ind w:left="426" w:hanging="426"/>
        <w:jc w:val="both"/>
      </w:pPr>
      <w:r w:rsidRPr="00D71ACB">
        <w:t xml:space="preserve">Poisťovateľovi vznikne povinnosť poskytnúť poškodenému </w:t>
      </w:r>
      <w:r w:rsidRPr="00D71ACB">
        <w:rPr>
          <w:bCs/>
        </w:rPr>
        <w:t>náhradu nemajetkovej ujmy</w:t>
      </w:r>
      <w:r w:rsidRPr="00D71ACB">
        <w:t>:</w:t>
      </w:r>
    </w:p>
    <w:p w:rsidR="00413BFF" w:rsidRPr="00D71ACB" w:rsidRDefault="00413BFF" w:rsidP="00413BFF">
      <w:pPr>
        <w:pStyle w:val="Odsekzoznamu"/>
        <w:numPr>
          <w:ilvl w:val="0"/>
          <w:numId w:val="29"/>
        </w:numPr>
        <w:autoSpaceDE w:val="0"/>
        <w:autoSpaceDN w:val="0"/>
        <w:spacing w:after="0" w:line="276" w:lineRule="auto"/>
        <w:ind w:left="426" w:hanging="426"/>
        <w:contextualSpacing w:val="0"/>
        <w:jc w:val="both"/>
      </w:pPr>
      <w:r w:rsidRPr="00D71ACB">
        <w:t xml:space="preserve">ak nárok bol prvýkrát písomne uplatnený voči poistenému a oznámený poisťovateľovi alebo okolnosti, ktoré viedli k vzniku nároku boli prvýkrát oznámené poisťovateľovi počas doby trvania poistenia alebo počas rozšírenej doby možnosti oznámenia nároku a zároveň sa, </w:t>
      </w:r>
    </w:p>
    <w:p w:rsidR="00413BFF" w:rsidRPr="00D71ACB" w:rsidRDefault="00413BFF" w:rsidP="00413BFF">
      <w:pPr>
        <w:pStyle w:val="Odsekzoznamu"/>
        <w:numPr>
          <w:ilvl w:val="0"/>
          <w:numId w:val="29"/>
        </w:numPr>
        <w:spacing w:after="0" w:line="276" w:lineRule="auto"/>
        <w:ind w:left="426" w:hanging="426"/>
        <w:contextualSpacing w:val="0"/>
        <w:jc w:val="both"/>
      </w:pPr>
      <w:r w:rsidRPr="00D71ACB">
        <w:t>nárok sa vzťahuje na porušenie povinnosti poisteným, ku ktorému došlo pred skončením doby trvania poistenia uvedenej v poistnej zmluve, najskôr však tri roky pred dňom účinnosti poistnej zmluvy.</w:t>
      </w:r>
    </w:p>
    <w:p w:rsidR="00413BFF" w:rsidRPr="00D71ACB" w:rsidRDefault="00413BFF" w:rsidP="00413BFF">
      <w:pPr>
        <w:spacing w:line="276" w:lineRule="auto"/>
        <w:ind w:left="360"/>
        <w:jc w:val="both"/>
        <w:rPr>
          <w:bCs/>
          <w:noProof/>
        </w:rPr>
      </w:pPr>
    </w:p>
    <w:p w:rsidR="00413BFF" w:rsidRPr="00D71ACB" w:rsidRDefault="00413BFF" w:rsidP="00413BFF">
      <w:pPr>
        <w:autoSpaceDE w:val="0"/>
        <w:autoSpaceDN w:val="0"/>
        <w:spacing w:line="276" w:lineRule="auto"/>
        <w:ind w:left="426" w:hanging="426"/>
        <w:jc w:val="both"/>
        <w:rPr>
          <w:bCs/>
          <w:noProof/>
        </w:rPr>
      </w:pPr>
      <w:r>
        <w:rPr>
          <w:noProof/>
        </w:rPr>
        <w:t>11.</w:t>
      </w:r>
      <w:r>
        <w:rPr>
          <w:noProof/>
        </w:rPr>
        <w:tab/>
      </w:r>
      <w:r w:rsidRPr="00D71ACB">
        <w:rPr>
          <w:noProof/>
        </w:rPr>
        <w:t>Územná platnosť poistenia:</w:t>
      </w:r>
    </w:p>
    <w:p w:rsidR="00413BFF" w:rsidRPr="00D71ACB" w:rsidRDefault="00413BFF" w:rsidP="00413BFF">
      <w:pPr>
        <w:autoSpaceDE w:val="0"/>
        <w:autoSpaceDN w:val="0"/>
        <w:spacing w:line="276" w:lineRule="auto"/>
        <w:ind w:left="426" w:hanging="284"/>
        <w:jc w:val="both"/>
        <w:rPr>
          <w:bCs/>
          <w:noProof/>
        </w:rPr>
      </w:pPr>
      <w:r>
        <w:rPr>
          <w:noProof/>
        </w:rPr>
        <w:t xml:space="preserve">a) </w:t>
      </w:r>
      <w:r w:rsidRPr="00D71ACB">
        <w:rPr>
          <w:noProof/>
        </w:rPr>
        <w:t>Poistenie sa vzťahuje na porušenie povinnosti, ktorých sa dopustil poistený na území Slovenskej republiky.</w:t>
      </w:r>
    </w:p>
    <w:p w:rsidR="00413BFF" w:rsidRPr="00D71ACB" w:rsidRDefault="00413BFF" w:rsidP="00413BFF">
      <w:pPr>
        <w:autoSpaceDE w:val="0"/>
        <w:autoSpaceDN w:val="0"/>
        <w:spacing w:line="276" w:lineRule="auto"/>
        <w:ind w:left="426" w:hanging="284"/>
        <w:jc w:val="both"/>
        <w:rPr>
          <w:bCs/>
          <w:noProof/>
        </w:rPr>
      </w:pPr>
      <w:r>
        <w:rPr>
          <w:noProof/>
        </w:rPr>
        <w:t xml:space="preserve">b) </w:t>
      </w:r>
      <w:r w:rsidRPr="00D71ACB">
        <w:rPr>
          <w:noProof/>
        </w:rPr>
        <w:t>V prípade príležitostného  poskytnutia prvej pomoci v núdzovej situácii ohrozenia života ľudí sa poistenie vzťahuje na porušenie povinností, ktorých sa dopustil poistený kdekoľvek na svete, s výnimkou územia Kanady a Spojených štátov amerických, ale len pri splnení podmienky, že nárok na náhradu škody vyplýva zo všeobecne záväzných právnych predpisov Slovenskej republiky a je podľa nich aj voči poistenému uplatnený.</w:t>
      </w:r>
    </w:p>
    <w:p w:rsidR="00413BFF" w:rsidRPr="00D71ACB" w:rsidRDefault="00413BFF" w:rsidP="00413BFF">
      <w:pPr>
        <w:spacing w:line="276" w:lineRule="auto"/>
        <w:ind w:left="720"/>
        <w:jc w:val="both"/>
        <w:rPr>
          <w:bCs/>
          <w:noProof/>
        </w:rPr>
      </w:pPr>
    </w:p>
    <w:p w:rsidR="00413BFF" w:rsidRPr="00D71ACB" w:rsidRDefault="00413BFF" w:rsidP="00413BFF">
      <w:pPr>
        <w:autoSpaceDE w:val="0"/>
        <w:autoSpaceDN w:val="0"/>
        <w:spacing w:line="276" w:lineRule="auto"/>
        <w:ind w:left="426" w:hanging="426"/>
        <w:jc w:val="both"/>
        <w:rPr>
          <w:bCs/>
          <w:noProof/>
        </w:rPr>
      </w:pPr>
      <w:r>
        <w:rPr>
          <w:noProof/>
        </w:rPr>
        <w:t>12.</w:t>
      </w:r>
      <w:r>
        <w:rPr>
          <w:noProof/>
        </w:rPr>
        <w:tab/>
      </w:r>
      <w:r w:rsidRPr="00D71ACB">
        <w:rPr>
          <w:noProof/>
        </w:rPr>
        <w:t>Rozšírená doba možnosti oznámenia nároku</w:t>
      </w:r>
    </w:p>
    <w:p w:rsidR="00413BFF" w:rsidRPr="00D71ACB" w:rsidRDefault="00413BFF" w:rsidP="00413BFF">
      <w:pPr>
        <w:autoSpaceDE w:val="0"/>
        <w:autoSpaceDN w:val="0"/>
        <w:spacing w:line="276" w:lineRule="auto"/>
        <w:ind w:left="360" w:hanging="218"/>
        <w:jc w:val="both"/>
        <w:rPr>
          <w:bCs/>
          <w:noProof/>
        </w:rPr>
      </w:pPr>
      <w:r>
        <w:rPr>
          <w:noProof/>
        </w:rPr>
        <w:t xml:space="preserve">a) </w:t>
      </w:r>
      <w:r w:rsidRPr="00D71ACB">
        <w:rPr>
          <w:noProof/>
        </w:rPr>
        <w:t>V prípade, že poistník nedojedná poistenie zodpovednosti za škodu spôsobenú pri poskytovaní zdravotnej starostlivosti na ďalšie poistné obdobie u poisťovateľa  ani u žiadneho iného poisťovateľa a nedošlo k zániku poistenia z dôvodu neplatenia poistného riadne a včas, platí automatické rozšírenie doby možnosti oznámenia nároku voči poistenému v dĺžke 90 dní od skončenia doby trvania poistenia (poistnej doby) u poisťovateľa, počas ktorého  môže poistník/poistený zistiť a oznámiť poisťovateľovi vznik nároku alebo okolnosti, ktoré môžu viesť k vzniku nároku, bez zaplatenia dodatočného poistného</w:t>
      </w:r>
    </w:p>
    <w:p w:rsidR="00413BFF" w:rsidRPr="00D71ACB" w:rsidRDefault="00413BFF" w:rsidP="00413BFF">
      <w:pPr>
        <w:autoSpaceDE w:val="0"/>
        <w:autoSpaceDN w:val="0"/>
        <w:spacing w:line="276" w:lineRule="auto"/>
        <w:ind w:left="426" w:hanging="218"/>
        <w:jc w:val="both"/>
        <w:rPr>
          <w:noProof/>
        </w:rPr>
      </w:pPr>
      <w:r>
        <w:rPr>
          <w:noProof/>
        </w:rPr>
        <w:t xml:space="preserve">b) </w:t>
      </w:r>
      <w:r w:rsidRPr="00D71ACB">
        <w:rPr>
          <w:noProof/>
        </w:rPr>
        <w:t>Poistník má zároveň právo pred skončením doby trvania poistenia dojednať za dodatočné poistné stanovené poisťovateľom v poistnej zmluve rozšírenú dobu možnosti oznámenia nároku voči poistenému dlhšiu ako 90 dní, ak písomná žiadosť o dojednanie rozšírenej doby možnosti oznámenia nároku bude poisťovateľovi doručená minimálne 30 dní pred skončením doby trvania poistenia a poisťovateľ žiadosť akceptuje.</w:t>
      </w:r>
    </w:p>
    <w:p w:rsidR="00413BFF" w:rsidRPr="00D71ACB" w:rsidRDefault="00413BFF" w:rsidP="00413BFF">
      <w:pPr>
        <w:spacing w:line="276" w:lineRule="auto"/>
        <w:ind w:left="720"/>
        <w:jc w:val="both"/>
        <w:rPr>
          <w:noProof/>
        </w:rPr>
      </w:pPr>
    </w:p>
    <w:p w:rsidR="00413BFF" w:rsidRPr="00D71ACB" w:rsidRDefault="00413BFF" w:rsidP="00413BFF">
      <w:pPr>
        <w:autoSpaceDE w:val="0"/>
        <w:autoSpaceDN w:val="0"/>
        <w:spacing w:line="276" w:lineRule="auto"/>
        <w:ind w:left="426" w:hanging="426"/>
        <w:jc w:val="both"/>
        <w:rPr>
          <w:noProof/>
        </w:rPr>
      </w:pPr>
      <w:r>
        <w:rPr>
          <w:noProof/>
        </w:rPr>
        <w:t xml:space="preserve">13. </w:t>
      </w:r>
      <w:r w:rsidRPr="00D71ACB">
        <w:rPr>
          <w:noProof/>
        </w:rPr>
        <w:t>Podmienkami rozšírenej doby možnosti oznámenia nároku sú:</w:t>
      </w:r>
    </w:p>
    <w:p w:rsidR="00413BFF" w:rsidRPr="00D71ACB" w:rsidRDefault="00413BFF" w:rsidP="00413BFF">
      <w:pPr>
        <w:autoSpaceDE w:val="0"/>
        <w:autoSpaceDN w:val="0"/>
        <w:spacing w:line="276" w:lineRule="auto"/>
        <w:ind w:left="426" w:hanging="284"/>
        <w:jc w:val="both"/>
        <w:rPr>
          <w:noProof/>
        </w:rPr>
      </w:pPr>
      <w:r>
        <w:rPr>
          <w:noProof/>
        </w:rPr>
        <w:t xml:space="preserve">a) </w:t>
      </w:r>
      <w:r w:rsidRPr="00D71ACB">
        <w:rPr>
          <w:noProof/>
        </w:rPr>
        <w:t>rozšírená doba možnosti oznámenia nároku sa bude vzťahovať len na porušenie povinnosti, ku ktorým došlo pred skončením doby trvania poistenia podľa poistnej zmluvy a</w:t>
      </w:r>
    </w:p>
    <w:p w:rsidR="00413BFF" w:rsidRPr="00D71ACB" w:rsidRDefault="00413BFF" w:rsidP="00413BFF">
      <w:pPr>
        <w:autoSpaceDE w:val="0"/>
        <w:autoSpaceDN w:val="0"/>
        <w:spacing w:line="276" w:lineRule="auto"/>
        <w:ind w:left="426" w:hanging="284"/>
        <w:jc w:val="both"/>
        <w:rPr>
          <w:noProof/>
        </w:rPr>
      </w:pPr>
      <w:r>
        <w:rPr>
          <w:noProof/>
        </w:rPr>
        <w:t xml:space="preserve">b) </w:t>
      </w:r>
      <w:r w:rsidRPr="00D71ACB">
        <w:rPr>
          <w:noProof/>
        </w:rPr>
        <w:t xml:space="preserve">poistený nemá dojednané ani nedojedná v priebehu rozšírenej doby možnosti oznámenia nároku žiadne iné poistenie zodpovednosti za škodu spôsobenú pri poskytovaní zdravotnej starostlivosti, </w:t>
      </w:r>
      <w:r w:rsidRPr="00D71ACB">
        <w:rPr>
          <w:noProof/>
        </w:rPr>
        <w:lastRenderedPageBreak/>
        <w:t>ktoré by sa vzťahovalo na nároky vyplývajúce z porušenia povinností,  ku ktorým došlo pred koncom poistenia.</w:t>
      </w:r>
    </w:p>
    <w:p w:rsidR="00413BFF" w:rsidRPr="00D71ACB" w:rsidRDefault="00413BFF" w:rsidP="00413BFF">
      <w:pPr>
        <w:spacing w:line="276" w:lineRule="auto"/>
        <w:ind w:left="720"/>
        <w:jc w:val="both"/>
        <w:rPr>
          <w:noProof/>
        </w:rPr>
      </w:pPr>
    </w:p>
    <w:p w:rsidR="00413BFF" w:rsidRPr="00D71ACB" w:rsidRDefault="00413BFF" w:rsidP="00413BFF">
      <w:pPr>
        <w:autoSpaceDE w:val="0"/>
        <w:autoSpaceDN w:val="0"/>
        <w:spacing w:line="276" w:lineRule="auto"/>
        <w:ind w:left="426" w:hanging="426"/>
        <w:jc w:val="both"/>
      </w:pPr>
      <w:r>
        <w:t xml:space="preserve">14. </w:t>
      </w:r>
      <w:r w:rsidRPr="00D71ACB">
        <w:t xml:space="preserve">Rozšírenie doby možnosti oznámenia nároku voči poistenému nerozširuje dobu trvania </w:t>
      </w:r>
      <w:r>
        <w:t xml:space="preserve">   poistenia, </w:t>
      </w:r>
      <w:r w:rsidRPr="00D71ACB">
        <w:t>nemení rozsah poistného krytia ani  dojednaný limit zodpovednosti za škodu. Vzťahuje sa iba na porušenie povinností, ku  ktorým došlo počas doby trvania poistenia, najskôr od retroaktívneho dátumu, pričom nárok na náhradu škody alebo okolnosti, ktoré môžu viesť k vzniku nároku boli prvýkrát písomne uplatnené voči poistenému počas doby trvania poistenia alebo počas rozšírenej doby možnosti oznámenia nároku. V prípade takýchto škôd sa má za to, že toto uplatnenie nároku nastalo v posledný deň doby trvania poistenia.</w:t>
      </w:r>
    </w:p>
    <w:p w:rsidR="00413BFF" w:rsidRPr="00D71ACB" w:rsidRDefault="00413BFF" w:rsidP="00413BFF">
      <w:pPr>
        <w:spacing w:line="276" w:lineRule="auto"/>
        <w:jc w:val="both"/>
      </w:pPr>
    </w:p>
    <w:p w:rsidR="00413BFF" w:rsidRPr="00D71ACB" w:rsidRDefault="00413BFF" w:rsidP="00413BFF">
      <w:pPr>
        <w:autoSpaceDE w:val="0"/>
        <w:autoSpaceDN w:val="0"/>
        <w:spacing w:line="276" w:lineRule="auto"/>
        <w:ind w:left="426" w:hanging="426"/>
        <w:jc w:val="both"/>
      </w:pPr>
      <w:r>
        <w:rPr>
          <w:bCs/>
        </w:rPr>
        <w:t xml:space="preserve">15. </w:t>
      </w:r>
      <w:r w:rsidRPr="00D71ACB">
        <w:rPr>
          <w:bCs/>
        </w:rPr>
        <w:t>Poistiteľ ďalej nahradí v súvislosti s poistnou udalosťou, ktorá je dôvodom vzniku práva na plnenie poistiteľa, za poisteného výdavky</w:t>
      </w:r>
      <w:r w:rsidRPr="00D71ACB">
        <w:t>:</w:t>
      </w:r>
    </w:p>
    <w:p w:rsidR="00413BFF" w:rsidRPr="00D71ACB" w:rsidRDefault="00413BFF" w:rsidP="00413BFF">
      <w:pPr>
        <w:autoSpaceDE w:val="0"/>
        <w:autoSpaceDN w:val="0"/>
        <w:spacing w:line="276" w:lineRule="auto"/>
        <w:ind w:left="426" w:hanging="284"/>
        <w:jc w:val="both"/>
      </w:pPr>
      <w:r>
        <w:t xml:space="preserve">a) </w:t>
      </w:r>
      <w:r w:rsidRPr="00D71ACB">
        <w:t>náklady na obnovu alebo nahradenie dokumentov prevzatých poisteným za účelom poskytovania zdravotnej starostlivosti, v dôsledku ich straty, poškodenia alebo zničenia,</w:t>
      </w:r>
    </w:p>
    <w:p w:rsidR="00413BFF" w:rsidRPr="00D71ACB" w:rsidRDefault="00413BFF" w:rsidP="00413BFF">
      <w:pPr>
        <w:numPr>
          <w:ilvl w:val="0"/>
          <w:numId w:val="27"/>
        </w:numPr>
        <w:tabs>
          <w:tab w:val="clear" w:pos="709"/>
          <w:tab w:val="clear" w:pos="1066"/>
          <w:tab w:val="clear" w:pos="1423"/>
          <w:tab w:val="clear" w:pos="1780"/>
          <w:tab w:val="clear" w:pos="2138"/>
          <w:tab w:val="clear" w:pos="2495"/>
          <w:tab w:val="clear" w:pos="2852"/>
        </w:tabs>
        <w:autoSpaceDE w:val="0"/>
        <w:autoSpaceDN w:val="0"/>
        <w:spacing w:line="276" w:lineRule="auto"/>
        <w:ind w:left="426" w:hanging="284"/>
        <w:jc w:val="both"/>
        <w:rPr>
          <w:vanish/>
        </w:rPr>
      </w:pPr>
    </w:p>
    <w:p w:rsidR="00413BFF" w:rsidRPr="00D71ACB" w:rsidRDefault="00413BFF" w:rsidP="00413BFF">
      <w:pPr>
        <w:autoSpaceDE w:val="0"/>
        <w:autoSpaceDN w:val="0"/>
        <w:spacing w:line="276" w:lineRule="auto"/>
        <w:ind w:left="426" w:hanging="284"/>
        <w:jc w:val="both"/>
      </w:pPr>
      <w:r>
        <w:t xml:space="preserve">b) </w:t>
      </w:r>
      <w:r w:rsidRPr="00D71ACB">
        <w:t xml:space="preserve">občianskeho súdneho konania o náhrade škody pred príslušným orgánom, ak toto konanie bolo potrebné na zistenie zodpovednosti poisteného alebo výšky plnenia poistiteľa, pokiaľ je poistený povinný ich uhradiť, ako aj trovy právneho zastúpenia poisteného, a to na všetkých stupňoch, </w:t>
      </w:r>
    </w:p>
    <w:p w:rsidR="00413BFF" w:rsidRPr="00D71ACB" w:rsidRDefault="00413BFF" w:rsidP="00413BFF">
      <w:pPr>
        <w:autoSpaceDE w:val="0"/>
        <w:autoSpaceDN w:val="0"/>
        <w:spacing w:line="276" w:lineRule="auto"/>
        <w:ind w:left="426" w:hanging="284"/>
        <w:jc w:val="both"/>
      </w:pPr>
      <w:r>
        <w:t xml:space="preserve">c) </w:t>
      </w:r>
      <w:r w:rsidRPr="00D71ACB">
        <w:t>náklady mimosúdneho prerokovávania nárokov poškodeného, vzniknuté poškodenému alebo jeho zástupcovi, pokiaľ je poistený povinný ich uhradiť.</w:t>
      </w:r>
    </w:p>
    <w:p w:rsidR="00413BFF" w:rsidRPr="00D71ACB" w:rsidRDefault="00413BFF" w:rsidP="00413BFF">
      <w:pPr>
        <w:autoSpaceDE w:val="0"/>
        <w:autoSpaceDN w:val="0"/>
        <w:spacing w:line="276" w:lineRule="auto"/>
        <w:ind w:left="426" w:hanging="284"/>
        <w:jc w:val="both"/>
      </w:pPr>
      <w:r>
        <w:t xml:space="preserve">d) </w:t>
      </w:r>
      <w:r w:rsidRPr="00D71ACB">
        <w:t>obhajoby poisteného (príp. jeho zamestnanca) v prípravnom konaní a pred súdom v trestnom konaní vedenom proti poistenému.</w:t>
      </w:r>
    </w:p>
    <w:p w:rsidR="00413BFF" w:rsidRPr="00D71ACB" w:rsidRDefault="00413BFF" w:rsidP="00413BFF"/>
    <w:p w:rsidR="00413BFF" w:rsidRPr="00D71ACB" w:rsidRDefault="00413BFF" w:rsidP="00413BFF">
      <w:pPr>
        <w:spacing w:line="280" w:lineRule="exact"/>
        <w:ind w:left="1428"/>
        <w:jc w:val="both"/>
      </w:pPr>
    </w:p>
    <w:p w:rsidR="00413BFF" w:rsidRPr="00D71ACB" w:rsidRDefault="00413BFF" w:rsidP="00413BFF">
      <w:pPr>
        <w:spacing w:line="280" w:lineRule="exact"/>
        <w:jc w:val="both"/>
      </w:pPr>
    </w:p>
    <w:p w:rsidR="00413BFF" w:rsidRPr="00D71ACB" w:rsidRDefault="00413BFF" w:rsidP="00413BFF">
      <w:pPr>
        <w:spacing w:line="280" w:lineRule="exact"/>
        <w:ind w:firstLine="708"/>
        <w:jc w:val="both"/>
        <w:outlineLvl w:val="0"/>
      </w:pPr>
      <w:r w:rsidRPr="00D71ACB">
        <w:rPr>
          <w:b/>
        </w:rPr>
        <w:t>Limit plnenia:</w:t>
      </w:r>
      <w:r w:rsidRPr="00D71ACB">
        <w:rPr>
          <w:b/>
        </w:rPr>
        <w:tab/>
      </w:r>
      <w:r w:rsidRPr="00D71ACB">
        <w:tab/>
      </w:r>
      <w:r w:rsidRPr="00D71ACB">
        <w:tab/>
        <w:t xml:space="preserve">331.940 EUR </w:t>
      </w:r>
    </w:p>
    <w:p w:rsidR="00413BFF" w:rsidRPr="00D71ACB" w:rsidRDefault="00413BFF" w:rsidP="00413BFF">
      <w:pPr>
        <w:spacing w:line="280" w:lineRule="exact"/>
        <w:jc w:val="both"/>
        <w:outlineLvl w:val="0"/>
      </w:pPr>
    </w:p>
    <w:p w:rsidR="00413BFF" w:rsidRPr="00D71ACB" w:rsidRDefault="00413BFF" w:rsidP="00413BFF">
      <w:pPr>
        <w:spacing w:line="280" w:lineRule="exact"/>
        <w:ind w:firstLine="708"/>
        <w:jc w:val="both"/>
        <w:outlineLvl w:val="0"/>
      </w:pPr>
      <w:r w:rsidRPr="00D71ACB">
        <w:rPr>
          <w:b/>
        </w:rPr>
        <w:t>Spoluúčasť:</w:t>
      </w:r>
      <w:r w:rsidRPr="00D71ACB">
        <w:t xml:space="preserve">  </w:t>
      </w:r>
      <w:r w:rsidRPr="00D71ACB">
        <w:tab/>
      </w:r>
      <w:r w:rsidRPr="00D71ACB">
        <w:tab/>
      </w:r>
      <w:r w:rsidRPr="00D71ACB">
        <w:tab/>
      </w:r>
      <w:r>
        <w:tab/>
      </w:r>
      <w:r w:rsidRPr="00D71ACB">
        <w:t xml:space="preserve">10% min. 1 660 EUR </w:t>
      </w:r>
    </w:p>
    <w:p w:rsidR="00413BFF" w:rsidRPr="00D71ACB" w:rsidRDefault="00413BFF" w:rsidP="00413BFF">
      <w:pPr>
        <w:spacing w:line="280" w:lineRule="exact"/>
        <w:jc w:val="both"/>
        <w:outlineLvl w:val="0"/>
      </w:pPr>
    </w:p>
    <w:p w:rsidR="00413BFF" w:rsidRPr="00D71ACB" w:rsidRDefault="00413BFF" w:rsidP="00413BFF">
      <w:pPr>
        <w:spacing w:line="280" w:lineRule="exact"/>
        <w:ind w:firstLine="708"/>
        <w:jc w:val="both"/>
        <w:outlineLvl w:val="0"/>
      </w:pPr>
      <w:r w:rsidRPr="00D71ACB">
        <w:rPr>
          <w:b/>
        </w:rPr>
        <w:t>Územná platnosť poistenia:</w:t>
      </w:r>
      <w:r w:rsidRPr="00D71ACB">
        <w:t xml:space="preserve"> </w:t>
      </w:r>
      <w:r w:rsidRPr="00D71ACB">
        <w:tab/>
        <w:t>Slovenská republika</w:t>
      </w:r>
    </w:p>
    <w:p w:rsidR="00413BFF" w:rsidRPr="000F7425" w:rsidRDefault="00413BFF" w:rsidP="00413BFF">
      <w:pPr>
        <w:spacing w:before="240" w:after="200"/>
        <w:ind w:left="720"/>
        <w:jc w:val="both"/>
      </w:pPr>
      <w:r w:rsidRPr="000F7425">
        <w:t>Poisťovateľ nemôže znížiť požadovaný rozsah poistenia svojimi Všeobecnými poistnými podmienkami, Osobitnými poistnými podmienkami (ďalej len „OPP“) ani zmluvnými dojednaniami (ďalej len „Zmluvné dojednania“). V prípade ak by Všeobecné poistné podmienky, OPP a Zmluvné dojednania obsahovali výluky, ktoré by akýmkoľvek spôsobom menili alebo obmedzovali rozsah poistného krytia v rozsahu poistenia podľa  Rámcovej dohody, majú ustanovenia definované v  rozsahu podľa Rámcovej dohody prednosť pred akýmikoľvek ustanoveniami a výlukami obsiahnutými vo Všeobecných poistných podmienkach, OPP a Zmluvných dojednaniach.</w:t>
      </w:r>
    </w:p>
    <w:p w:rsidR="00413BFF" w:rsidRPr="00080EC7" w:rsidRDefault="00413BFF" w:rsidP="00413BFF">
      <w:pPr>
        <w:spacing w:before="240" w:after="200"/>
        <w:ind w:left="708"/>
        <w:jc w:val="both"/>
        <w:rPr>
          <w:b/>
        </w:rPr>
      </w:pPr>
      <w:r w:rsidRPr="00080EC7">
        <w:t xml:space="preserve">Prehľad poistných súm a pevne stanovených spoluúčastí podľa </w:t>
      </w:r>
      <w:r w:rsidRPr="00080EC7">
        <w:rPr>
          <w:i/>
        </w:rPr>
        <w:t xml:space="preserve">Prílohy č. </w:t>
      </w:r>
      <w:r>
        <w:rPr>
          <w:i/>
        </w:rPr>
        <w:t>1</w:t>
      </w:r>
      <w:r w:rsidRPr="00080EC7">
        <w:t xml:space="preserve"> - Tabuľka č. </w:t>
      </w:r>
      <w:r>
        <w:t>1</w:t>
      </w:r>
      <w:r w:rsidRPr="00080EC7">
        <w:t xml:space="preserve">  Rámcovej dohody.</w:t>
      </w:r>
    </w:p>
    <w:p w:rsidR="00413BFF" w:rsidRDefault="00413BFF" w:rsidP="00413BFF">
      <w:pPr>
        <w:spacing w:before="240" w:after="200"/>
        <w:jc w:val="both"/>
        <w:rPr>
          <w:b/>
        </w:rPr>
      </w:pPr>
    </w:p>
    <w:p w:rsidR="00413BFF" w:rsidRPr="00B37738" w:rsidRDefault="00413BFF" w:rsidP="00413BFF"/>
    <w:p w:rsidR="00413BFF" w:rsidRPr="00B37738" w:rsidRDefault="00413BFF" w:rsidP="00413BFF">
      <w:pPr>
        <w:jc w:val="center"/>
        <w:rPr>
          <w:b/>
          <w:bCs/>
        </w:rPr>
      </w:pPr>
      <w:r w:rsidRPr="00B37738">
        <w:rPr>
          <w:b/>
          <w:bCs/>
        </w:rPr>
        <w:t>Článok III.</w:t>
      </w:r>
    </w:p>
    <w:p w:rsidR="00413BFF" w:rsidRPr="00B37738" w:rsidRDefault="00413BFF" w:rsidP="00413BFF">
      <w:pPr>
        <w:jc w:val="center"/>
        <w:rPr>
          <w:b/>
          <w:bCs/>
        </w:rPr>
      </w:pPr>
      <w:r w:rsidRPr="00B37738">
        <w:rPr>
          <w:b/>
          <w:bCs/>
        </w:rPr>
        <w:t>Spôsob a podmienky dojednávania poistných zmlúv, poistenia</w:t>
      </w:r>
    </w:p>
    <w:p w:rsidR="00413BFF" w:rsidRPr="00B37738" w:rsidRDefault="00413BFF" w:rsidP="00413BFF">
      <w:pPr>
        <w:jc w:val="center"/>
        <w:rPr>
          <w:b/>
          <w:bCs/>
        </w:rPr>
      </w:pPr>
    </w:p>
    <w:p w:rsidR="00413BFF" w:rsidRPr="009014F5" w:rsidRDefault="00413BFF" w:rsidP="00413BFF">
      <w:pPr>
        <w:numPr>
          <w:ilvl w:val="0"/>
          <w:numId w:val="17"/>
        </w:numPr>
        <w:contextualSpacing/>
        <w:jc w:val="both"/>
      </w:pPr>
      <w:r w:rsidRPr="009014F5">
        <w:t xml:space="preserve">Na základe Rámcovej dohody budú uzatvorené Poistné zmluvy pre Poistníka v súlade s Rámcovou dohodou, pričom v každej Poistnej zmluve budú použité poistné sadzby a rozsah </w:t>
      </w:r>
      <w:r w:rsidRPr="009014F5">
        <w:lastRenderedPageBreak/>
        <w:t xml:space="preserve">poistených rizík dohodnuté v Rámcovej </w:t>
      </w:r>
      <w:r>
        <w:t>dohode. Rozsah poistenia</w:t>
      </w:r>
      <w:r w:rsidRPr="009014F5">
        <w:t xml:space="preserve"> sa uzatvára v súlade s Rámcovou dohodou podľa aktuálnej potreby.</w:t>
      </w:r>
    </w:p>
    <w:p w:rsidR="00413BFF" w:rsidRPr="009014F5" w:rsidRDefault="00413BFF" w:rsidP="00413BFF">
      <w:pPr>
        <w:ind w:left="720"/>
        <w:contextualSpacing/>
        <w:jc w:val="both"/>
        <w:rPr>
          <w:color w:val="000000"/>
        </w:rPr>
      </w:pPr>
    </w:p>
    <w:p w:rsidR="00413BFF" w:rsidRPr="009014F5" w:rsidRDefault="00413BFF" w:rsidP="00413BFF">
      <w:pPr>
        <w:numPr>
          <w:ilvl w:val="0"/>
          <w:numId w:val="17"/>
        </w:numPr>
        <w:contextualSpacing/>
        <w:jc w:val="both"/>
      </w:pPr>
      <w:r w:rsidRPr="009014F5">
        <w:t xml:space="preserve">Poistné zmluvy budú uzatvárané v súlade s príslušnými ustanoveniami Občianskeho zákonníka a touto Rámcovou dohodou. Súčasťou poistných zmlúv budú vždy Všeobecné poistné podmienky Poisťovateľa  pre jednotlivé druhy poistenia, ktoré sú zároveň aj </w:t>
      </w:r>
      <w:r w:rsidRPr="009014F5">
        <w:rPr>
          <w:i/>
        </w:rPr>
        <w:t xml:space="preserve">Prílohou č. </w:t>
      </w:r>
      <w:r>
        <w:rPr>
          <w:i/>
        </w:rPr>
        <w:t>3</w:t>
      </w:r>
      <w:r w:rsidRPr="009014F5">
        <w:t xml:space="preserve"> tejto Rámcovej dohody, pričom dojednania tejto Rámcovej dohody majú prednosť pred ustanoveniami poistných podmienok Poisťovateľa pre jednotlivé druhy poistenia . </w:t>
      </w:r>
    </w:p>
    <w:p w:rsidR="00413BFF" w:rsidRPr="009014F5" w:rsidRDefault="00413BFF" w:rsidP="00413BFF">
      <w:pPr>
        <w:ind w:left="720"/>
        <w:contextualSpacing/>
        <w:rPr>
          <w:color w:val="000000"/>
        </w:rPr>
      </w:pPr>
    </w:p>
    <w:p w:rsidR="00413BFF" w:rsidRPr="009014F5" w:rsidRDefault="00413BFF" w:rsidP="00413BFF">
      <w:pPr>
        <w:numPr>
          <w:ilvl w:val="0"/>
          <w:numId w:val="17"/>
        </w:numPr>
        <w:spacing w:after="240"/>
        <w:contextualSpacing/>
        <w:jc w:val="both"/>
      </w:pPr>
      <w:r w:rsidRPr="009014F5">
        <w:t>Poisťovateľ nemôže znížiť požadovaný rozsah poistenia svojimi Všeobecnými poistnými podmienkami, Osobitnými poistnými podmienkami (ďalej len „OPP“) ani zmluvnými dojednaniami (ďalej len „Zmluvné dojednania“). V prípade ak by Všeobecné poistné podmienky, OPP a Zmluvné dojednania obsahovali výluky, ktoré by akýmkoľvek spôsobom menili alebo obmedzovali rozsah poistného krytia v rozsahu poistenia podľa čl. II.  Rámcovej dohody, majú ustanovenia definované v  rozsahu podľa Rámcovej dohody prednosť pred akýmikoľvek ustanoveniami a výlukami obsiahnutými vo Všeobecných poistných podmienkach, OPP a Zmluvných dojednaniach.</w:t>
      </w:r>
    </w:p>
    <w:p w:rsidR="00413BFF" w:rsidRPr="009014F5" w:rsidRDefault="00413BFF" w:rsidP="00413BFF">
      <w:pPr>
        <w:ind w:left="720"/>
        <w:contextualSpacing/>
        <w:jc w:val="both"/>
        <w:rPr>
          <w:color w:val="000000"/>
        </w:rPr>
      </w:pPr>
    </w:p>
    <w:p w:rsidR="00413BFF" w:rsidRPr="009014F5" w:rsidRDefault="00413BFF" w:rsidP="00413BFF">
      <w:pPr>
        <w:numPr>
          <w:ilvl w:val="0"/>
          <w:numId w:val="17"/>
        </w:numPr>
        <w:contextualSpacing/>
        <w:jc w:val="both"/>
      </w:pPr>
      <w:r w:rsidRPr="009014F5">
        <w:t xml:space="preserve">Aktualizácia poistných súm bude  podľa potreby a požiadavky Poistníka. </w:t>
      </w:r>
    </w:p>
    <w:p w:rsidR="00413BFF" w:rsidRPr="009014F5" w:rsidRDefault="00413BFF" w:rsidP="00413BFF">
      <w:pPr>
        <w:jc w:val="both"/>
        <w:rPr>
          <w:iCs/>
        </w:rPr>
      </w:pPr>
    </w:p>
    <w:p w:rsidR="00413BFF" w:rsidRPr="009014F5" w:rsidRDefault="00413BFF" w:rsidP="00413BFF">
      <w:pPr>
        <w:numPr>
          <w:ilvl w:val="0"/>
          <w:numId w:val="17"/>
        </w:numPr>
        <w:contextualSpacing/>
        <w:jc w:val="both"/>
        <w:rPr>
          <w:iCs/>
        </w:rPr>
      </w:pPr>
      <w:r w:rsidRPr="009014F5">
        <w:t>Poisťovateľ sa zaväzuje, že na žiadosť Poistníka/Poisteného vystaví potvrdenie o poistení majetku Poistníka/Poisteného poisteného Poistnou zmluvou.</w:t>
      </w:r>
    </w:p>
    <w:p w:rsidR="00413BFF" w:rsidRPr="009014F5" w:rsidRDefault="00413BFF" w:rsidP="00413BFF">
      <w:pPr>
        <w:contextualSpacing/>
        <w:jc w:val="both"/>
        <w:rPr>
          <w:iCs/>
        </w:rPr>
      </w:pPr>
    </w:p>
    <w:p w:rsidR="00413BFF" w:rsidRPr="009014F5" w:rsidRDefault="00413BFF" w:rsidP="00413BFF">
      <w:pPr>
        <w:ind w:left="720" w:hanging="294"/>
        <w:contextualSpacing/>
        <w:jc w:val="both"/>
        <w:rPr>
          <w:iCs/>
        </w:rPr>
      </w:pPr>
      <w:r w:rsidRPr="009014F5">
        <w:rPr>
          <w:iCs/>
        </w:rPr>
        <w:t xml:space="preserve">9. </w:t>
      </w:r>
      <w:r>
        <w:rPr>
          <w:iCs/>
        </w:rPr>
        <w:t>P</w:t>
      </w:r>
      <w:r w:rsidRPr="009014F5">
        <w:rPr>
          <w:iCs/>
        </w:rPr>
        <w:t>oistné plnenie z poistenia zodpovednosti sa poukazuje poškodenému. Vybavovací list – oznámenie o poistnom plnení bude zaslaný poškodenému, poistenému a na vedomie poistníkovi.</w:t>
      </w:r>
    </w:p>
    <w:p w:rsidR="00413BFF" w:rsidRPr="009014F5" w:rsidRDefault="00413BFF" w:rsidP="00413BFF">
      <w:pPr>
        <w:ind w:left="720" w:hanging="294"/>
        <w:contextualSpacing/>
        <w:jc w:val="both"/>
        <w:rPr>
          <w:iCs/>
        </w:rPr>
      </w:pPr>
    </w:p>
    <w:p w:rsidR="00413BFF" w:rsidRPr="009014F5" w:rsidRDefault="00413BFF" w:rsidP="00413BFF">
      <w:pPr>
        <w:ind w:left="720" w:hanging="294"/>
        <w:contextualSpacing/>
        <w:jc w:val="both"/>
        <w:rPr>
          <w:iCs/>
        </w:rPr>
      </w:pPr>
      <w:r w:rsidRPr="009014F5">
        <w:rPr>
          <w:iCs/>
        </w:rPr>
        <w:t xml:space="preserve">10. Poisťovateľ je povinný zasielať zoznam poistných udalostí poistníkovi štvrťročne do 10-tich kalendárnych dní nasledovného mesiaca. Súčasťou zoznamu je vyhodnotenie aktuálnej </w:t>
      </w:r>
      <w:proofErr w:type="spellStart"/>
      <w:r w:rsidRPr="009014F5">
        <w:rPr>
          <w:iCs/>
        </w:rPr>
        <w:t>škodovosti</w:t>
      </w:r>
      <w:proofErr w:type="spellEnd"/>
      <w:r w:rsidRPr="009014F5">
        <w:rPr>
          <w:iCs/>
        </w:rPr>
        <w:t>.</w:t>
      </w:r>
    </w:p>
    <w:p w:rsidR="00413BFF" w:rsidRPr="009014F5" w:rsidRDefault="00413BFF" w:rsidP="00413BFF">
      <w:pPr>
        <w:ind w:left="720"/>
        <w:contextualSpacing/>
        <w:jc w:val="both"/>
        <w:rPr>
          <w:iCs/>
        </w:rPr>
      </w:pPr>
    </w:p>
    <w:p w:rsidR="00413BFF" w:rsidRPr="009014F5" w:rsidRDefault="00413BFF" w:rsidP="00413BFF">
      <w:pPr>
        <w:ind w:left="851" w:hanging="491"/>
        <w:contextualSpacing/>
        <w:jc w:val="both"/>
      </w:pPr>
      <w:r w:rsidRPr="009014F5">
        <w:t>11. Dojednaním tejto Rámcovej dohody je, že Poisťovateľ poskytne nadštandardné podmienky poistného krytia a zvýhodnené sadzby pre Poistníka/Poisteného. Poistné sadzby pre výpočet poistného a spoluúčasti sú záväzné a nemenné po celú dobu trvania Rámcovej dohody.</w:t>
      </w:r>
    </w:p>
    <w:p w:rsidR="00413BFF" w:rsidRPr="00B37738" w:rsidRDefault="00413BFF" w:rsidP="00413BFF">
      <w:pPr>
        <w:jc w:val="both"/>
        <w:rPr>
          <w:bCs/>
          <w:color w:val="FF0000"/>
        </w:rPr>
      </w:pPr>
    </w:p>
    <w:p w:rsidR="00413BFF" w:rsidRPr="00B37738" w:rsidRDefault="00413BFF" w:rsidP="00413BFF">
      <w:pPr>
        <w:jc w:val="both"/>
        <w:rPr>
          <w:bCs/>
          <w:color w:val="FF0000"/>
        </w:rPr>
      </w:pPr>
    </w:p>
    <w:p w:rsidR="00413BFF" w:rsidRPr="00B37738" w:rsidRDefault="00413BFF" w:rsidP="00413BFF">
      <w:pPr>
        <w:jc w:val="center"/>
        <w:rPr>
          <w:b/>
          <w:bCs/>
        </w:rPr>
      </w:pPr>
      <w:r w:rsidRPr="00B37738">
        <w:rPr>
          <w:b/>
          <w:bCs/>
        </w:rPr>
        <w:t>Článok IV.</w:t>
      </w:r>
    </w:p>
    <w:p w:rsidR="00413BFF" w:rsidRPr="00B37738" w:rsidRDefault="00413BFF" w:rsidP="00413BFF">
      <w:pPr>
        <w:jc w:val="center"/>
        <w:rPr>
          <w:b/>
          <w:bCs/>
          <w:color w:val="000000"/>
        </w:rPr>
      </w:pPr>
      <w:r w:rsidRPr="00B37738">
        <w:rPr>
          <w:b/>
          <w:bCs/>
          <w:color w:val="000000"/>
        </w:rPr>
        <w:t xml:space="preserve">Poistná doba , poistné obdobie, ukončenie platnosti rámcovej dohody a poistnej zmluvy </w:t>
      </w:r>
    </w:p>
    <w:p w:rsidR="00413BFF" w:rsidRPr="00B37738" w:rsidRDefault="00413BFF" w:rsidP="00413BFF">
      <w:pPr>
        <w:jc w:val="both"/>
        <w:rPr>
          <w:b/>
          <w:bCs/>
          <w:color w:val="000000"/>
          <w:u w:val="single"/>
        </w:rPr>
      </w:pPr>
    </w:p>
    <w:p w:rsidR="00413BFF" w:rsidRPr="009014F5" w:rsidRDefault="00413BFF" w:rsidP="00413BFF">
      <w:pPr>
        <w:numPr>
          <w:ilvl w:val="0"/>
          <w:numId w:val="18"/>
        </w:numPr>
        <w:contextualSpacing/>
        <w:jc w:val="both"/>
        <w:rPr>
          <w:iCs/>
        </w:rPr>
      </w:pPr>
      <w:r w:rsidRPr="009014F5">
        <w:t>Táto Rámcová dohoda sa uzatvár</w:t>
      </w:r>
      <w:r>
        <w:t>a na dobu určitú od 01.01.2019 do 31.12.2022</w:t>
      </w:r>
      <w:r w:rsidRPr="009014F5">
        <w:t>.</w:t>
      </w:r>
    </w:p>
    <w:p w:rsidR="00413BFF" w:rsidRPr="009014F5" w:rsidRDefault="00413BFF" w:rsidP="00413BFF">
      <w:pPr>
        <w:ind w:left="720"/>
        <w:contextualSpacing/>
        <w:jc w:val="both"/>
        <w:rPr>
          <w:iCs/>
        </w:rPr>
      </w:pPr>
    </w:p>
    <w:p w:rsidR="00413BFF" w:rsidRPr="009014F5" w:rsidRDefault="00413BFF" w:rsidP="00413BFF">
      <w:pPr>
        <w:numPr>
          <w:ilvl w:val="0"/>
          <w:numId w:val="18"/>
        </w:numPr>
        <w:contextualSpacing/>
        <w:jc w:val="both"/>
        <w:rPr>
          <w:iCs/>
        </w:rPr>
      </w:pPr>
      <w:r w:rsidRPr="009014F5">
        <w:t xml:space="preserve">Poistenie začína od dátumu účinnosti Poistných zmlúv ako začiatok poistenia a dojednáva sa na dobu určitú počas platnosti Rámcovej dohody, resp. podľa ustanovení nasledujúceho bodu. Poistné obdobie je jeden technický rok. </w:t>
      </w:r>
    </w:p>
    <w:p w:rsidR="00413BFF" w:rsidRPr="009014F5" w:rsidRDefault="00413BFF" w:rsidP="00413BFF">
      <w:pPr>
        <w:ind w:left="720"/>
        <w:contextualSpacing/>
        <w:rPr>
          <w:iCs/>
        </w:rPr>
      </w:pPr>
    </w:p>
    <w:p w:rsidR="00413BFF" w:rsidRPr="009014F5" w:rsidRDefault="00413BFF" w:rsidP="00413BFF">
      <w:pPr>
        <w:numPr>
          <w:ilvl w:val="0"/>
          <w:numId w:val="18"/>
        </w:numPr>
        <w:contextualSpacing/>
        <w:rPr>
          <w:iCs/>
        </w:rPr>
      </w:pPr>
      <w:r w:rsidRPr="009014F5">
        <w:t>Lehota poskytnutia služby:</w:t>
      </w:r>
    </w:p>
    <w:p w:rsidR="00413BFF" w:rsidRPr="009014F5" w:rsidRDefault="00413BFF" w:rsidP="00413BFF">
      <w:pPr>
        <w:numPr>
          <w:ilvl w:val="4"/>
          <w:numId w:val="20"/>
        </w:numPr>
        <w:tabs>
          <w:tab w:val="clear" w:pos="1066"/>
          <w:tab w:val="clear" w:pos="1423"/>
          <w:tab w:val="left" w:pos="851"/>
        </w:tabs>
        <w:spacing w:line="300" w:lineRule="exact"/>
        <w:ind w:left="851" w:hanging="284"/>
        <w:jc w:val="both"/>
        <w:rPr>
          <w:iCs/>
        </w:rPr>
      </w:pPr>
      <w:r w:rsidRPr="009014F5">
        <w:t>začiatok poistenia odo dňa nadobudnutia účinnosti Poistnej zmluvy (čiastkovej zml</w:t>
      </w:r>
      <w:r>
        <w:t xml:space="preserve">uvy  </w:t>
      </w:r>
      <w:r w:rsidRPr="009014F5">
        <w:t>podľa rozsahu a podmienok Rámcovej dohody (od 00:00 h.),</w:t>
      </w:r>
    </w:p>
    <w:p w:rsidR="00413BFF" w:rsidRPr="009014F5" w:rsidRDefault="00413BFF" w:rsidP="00413BFF">
      <w:pPr>
        <w:numPr>
          <w:ilvl w:val="4"/>
          <w:numId w:val="20"/>
        </w:numPr>
        <w:tabs>
          <w:tab w:val="clear" w:pos="1066"/>
          <w:tab w:val="clear" w:pos="1423"/>
          <w:tab w:val="left" w:pos="851"/>
          <w:tab w:val="left" w:pos="1134"/>
        </w:tabs>
        <w:spacing w:line="300" w:lineRule="exact"/>
        <w:ind w:left="851" w:hanging="284"/>
        <w:jc w:val="both"/>
      </w:pPr>
      <w:r w:rsidRPr="009014F5">
        <w:t>koniec poistenia do  dňa ukončenia účinnosti Rámcovej dohody (do 24.00 h.)</w:t>
      </w:r>
      <w:r w:rsidR="00F91897">
        <w:t>.</w:t>
      </w:r>
      <w:r w:rsidRPr="009014F5">
        <w:t xml:space="preserve"> </w:t>
      </w:r>
      <w:bookmarkStart w:id="0" w:name="_GoBack"/>
      <w:bookmarkEnd w:id="0"/>
    </w:p>
    <w:p w:rsidR="00413BFF" w:rsidRPr="009014F5" w:rsidRDefault="00413BFF" w:rsidP="00413BFF">
      <w:pPr>
        <w:ind w:left="720"/>
        <w:contextualSpacing/>
      </w:pPr>
    </w:p>
    <w:p w:rsidR="00413BFF" w:rsidRPr="009014F5" w:rsidRDefault="00413BFF" w:rsidP="00413BFF">
      <w:pPr>
        <w:numPr>
          <w:ilvl w:val="0"/>
          <w:numId w:val="18"/>
        </w:numPr>
        <w:contextualSpacing/>
      </w:pPr>
      <w:r w:rsidRPr="009014F5">
        <w:t xml:space="preserve">Platnosť tejto Rámcovej dohody končí najmä nie však výlučne: </w:t>
      </w:r>
    </w:p>
    <w:p w:rsidR="00413BFF" w:rsidRPr="009014F5" w:rsidRDefault="00413BFF" w:rsidP="00413BFF">
      <w:pPr>
        <w:numPr>
          <w:ilvl w:val="4"/>
          <w:numId w:val="21"/>
        </w:numPr>
        <w:tabs>
          <w:tab w:val="clear" w:pos="1066"/>
          <w:tab w:val="clear" w:pos="1423"/>
          <w:tab w:val="left" w:pos="851"/>
          <w:tab w:val="left" w:pos="1276"/>
        </w:tabs>
        <w:spacing w:line="300" w:lineRule="exact"/>
        <w:ind w:left="851" w:hanging="284"/>
        <w:jc w:val="both"/>
      </w:pPr>
      <w:r w:rsidRPr="009014F5">
        <w:t xml:space="preserve">uplynutím doby ustanovenej v bode 1 tohto článku, </w:t>
      </w:r>
    </w:p>
    <w:p w:rsidR="00413BFF" w:rsidRPr="009014F5" w:rsidRDefault="00413BFF" w:rsidP="00413BFF">
      <w:pPr>
        <w:numPr>
          <w:ilvl w:val="4"/>
          <w:numId w:val="21"/>
        </w:numPr>
        <w:tabs>
          <w:tab w:val="clear" w:pos="1066"/>
          <w:tab w:val="clear" w:pos="1423"/>
          <w:tab w:val="left" w:pos="851"/>
          <w:tab w:val="left" w:pos="1276"/>
        </w:tabs>
        <w:spacing w:line="300" w:lineRule="exact"/>
        <w:ind w:left="851" w:hanging="284"/>
        <w:jc w:val="both"/>
      </w:pPr>
      <w:r w:rsidRPr="009014F5">
        <w:t>alebo ukončením platnosti všetkých čiastkových poistných zmlúv,</w:t>
      </w:r>
    </w:p>
    <w:p w:rsidR="00413BFF" w:rsidRPr="009014F5" w:rsidRDefault="00413BFF" w:rsidP="00413BFF">
      <w:pPr>
        <w:numPr>
          <w:ilvl w:val="4"/>
          <w:numId w:val="21"/>
        </w:numPr>
        <w:tabs>
          <w:tab w:val="clear" w:pos="1066"/>
          <w:tab w:val="clear" w:pos="1423"/>
          <w:tab w:val="left" w:pos="851"/>
          <w:tab w:val="left" w:pos="1276"/>
        </w:tabs>
        <w:spacing w:line="300" w:lineRule="exact"/>
        <w:ind w:left="851" w:hanging="284"/>
        <w:jc w:val="both"/>
      </w:pPr>
      <w:r w:rsidRPr="009014F5">
        <w:lastRenderedPageBreak/>
        <w:t xml:space="preserve">alebo vyčerpaním výšky ceny za poskytnutie služby uvedenej Rámcovou dohodou za </w:t>
      </w:r>
      <w:r>
        <w:t xml:space="preserve">štyri </w:t>
      </w:r>
      <w:r w:rsidRPr="009014F5">
        <w:t>rok</w:t>
      </w:r>
      <w:r>
        <w:t>y</w:t>
      </w:r>
      <w:r w:rsidRPr="009014F5">
        <w:t>,</w:t>
      </w:r>
    </w:p>
    <w:p w:rsidR="00413BFF" w:rsidRPr="009014F5" w:rsidRDefault="00413BFF" w:rsidP="00413BFF">
      <w:pPr>
        <w:ind w:left="720" w:hanging="294"/>
        <w:contextualSpacing/>
        <w:jc w:val="both"/>
      </w:pPr>
    </w:p>
    <w:p w:rsidR="00413BFF" w:rsidRPr="009014F5" w:rsidRDefault="00413BFF" w:rsidP="00413BFF">
      <w:pPr>
        <w:numPr>
          <w:ilvl w:val="0"/>
          <w:numId w:val="18"/>
        </w:numPr>
        <w:contextualSpacing/>
        <w:jc w:val="both"/>
      </w:pPr>
      <w:r>
        <w:t xml:space="preserve">Poistenie </w:t>
      </w:r>
      <w:r w:rsidRPr="009014F5">
        <w:t xml:space="preserve">zodpovednosti za škodu, ktoré vznikne na základe Poistných zmlúv </w:t>
      </w:r>
      <w:r w:rsidRPr="009014F5">
        <w:rPr>
          <w:color w:val="000000"/>
        </w:rPr>
        <w:t xml:space="preserve">uzavretých v súlade s touto Rámcovou dohodou, môže zaniknúť podľa príslušných ustanovení Občianskeho zákonníka alebo aj písomnou dohodou zmluvných strán. </w:t>
      </w:r>
    </w:p>
    <w:p w:rsidR="00413BFF" w:rsidRPr="00B37738" w:rsidRDefault="00413BFF" w:rsidP="00413BFF">
      <w:pPr>
        <w:ind w:left="720" w:hanging="294"/>
        <w:contextualSpacing/>
        <w:jc w:val="both"/>
      </w:pPr>
    </w:p>
    <w:p w:rsidR="00413BFF" w:rsidRPr="00B37738" w:rsidRDefault="00413BFF" w:rsidP="00413BFF">
      <w:pPr>
        <w:ind w:left="720" w:hanging="294"/>
        <w:contextualSpacing/>
        <w:jc w:val="both"/>
      </w:pPr>
    </w:p>
    <w:p w:rsidR="00413BFF" w:rsidRDefault="00413BFF" w:rsidP="00413BFF">
      <w:pPr>
        <w:ind w:left="720"/>
        <w:contextualSpacing/>
        <w:jc w:val="center"/>
        <w:rPr>
          <w:b/>
        </w:rPr>
      </w:pPr>
    </w:p>
    <w:p w:rsidR="00413BFF" w:rsidRPr="00B37738" w:rsidRDefault="00413BFF" w:rsidP="00413BFF">
      <w:pPr>
        <w:ind w:left="720"/>
        <w:contextualSpacing/>
        <w:jc w:val="center"/>
        <w:rPr>
          <w:b/>
        </w:rPr>
      </w:pPr>
    </w:p>
    <w:p w:rsidR="00413BFF" w:rsidRPr="00B37738" w:rsidRDefault="00413BFF" w:rsidP="00413BFF">
      <w:pPr>
        <w:ind w:left="720"/>
        <w:contextualSpacing/>
        <w:jc w:val="center"/>
        <w:rPr>
          <w:b/>
        </w:rPr>
      </w:pPr>
      <w:r w:rsidRPr="00B37738">
        <w:rPr>
          <w:b/>
        </w:rPr>
        <w:t>Článok V.</w:t>
      </w:r>
    </w:p>
    <w:p w:rsidR="00413BFF" w:rsidRPr="00B37738" w:rsidRDefault="00413BFF" w:rsidP="00413BFF">
      <w:pPr>
        <w:ind w:left="720"/>
        <w:contextualSpacing/>
        <w:jc w:val="center"/>
        <w:rPr>
          <w:b/>
        </w:rPr>
      </w:pPr>
      <w:r w:rsidRPr="00B37738">
        <w:rPr>
          <w:b/>
        </w:rPr>
        <w:t>Miesto poskytnutia služby</w:t>
      </w:r>
    </w:p>
    <w:p w:rsidR="00413BFF" w:rsidRPr="00B37738" w:rsidRDefault="00413BFF" w:rsidP="00413BFF">
      <w:pPr>
        <w:ind w:left="720"/>
        <w:contextualSpacing/>
        <w:jc w:val="both"/>
      </w:pPr>
    </w:p>
    <w:p w:rsidR="00413BFF" w:rsidRPr="009014F5" w:rsidRDefault="00413BFF" w:rsidP="00413BFF">
      <w:pPr>
        <w:ind w:left="360"/>
        <w:contextualSpacing/>
        <w:jc w:val="both"/>
        <w:rPr>
          <w:b/>
        </w:rPr>
      </w:pPr>
      <w:r w:rsidRPr="009014F5">
        <w:t>Miesto alebo miesta poskytnutia služby:  Slovenská republika prípadne miesta uvedené v článku II. Predmet a rozsah poistenia.</w:t>
      </w:r>
    </w:p>
    <w:p w:rsidR="00413BFF" w:rsidRPr="00B37738" w:rsidRDefault="00413BFF" w:rsidP="00413BFF">
      <w:pPr>
        <w:ind w:left="720" w:hanging="436"/>
        <w:contextualSpacing/>
        <w:jc w:val="both"/>
      </w:pPr>
    </w:p>
    <w:p w:rsidR="00413BFF" w:rsidRPr="00B37738" w:rsidRDefault="00413BFF" w:rsidP="00413BFF">
      <w:pPr>
        <w:ind w:left="720" w:hanging="294"/>
        <w:contextualSpacing/>
        <w:jc w:val="both"/>
      </w:pPr>
    </w:p>
    <w:p w:rsidR="00413BFF" w:rsidRPr="00B37738" w:rsidRDefault="00413BFF" w:rsidP="00413BFF">
      <w:pPr>
        <w:ind w:left="360"/>
        <w:jc w:val="center"/>
        <w:rPr>
          <w:b/>
          <w:bCs/>
        </w:rPr>
      </w:pPr>
      <w:r w:rsidRPr="00B37738">
        <w:rPr>
          <w:b/>
          <w:bCs/>
        </w:rPr>
        <w:t>Článok VI.</w:t>
      </w:r>
    </w:p>
    <w:p w:rsidR="00413BFF" w:rsidRPr="00B37738" w:rsidRDefault="00413BFF" w:rsidP="00413BFF">
      <w:pPr>
        <w:ind w:left="360"/>
        <w:jc w:val="center"/>
        <w:rPr>
          <w:b/>
          <w:bCs/>
        </w:rPr>
      </w:pPr>
      <w:r w:rsidRPr="00B37738">
        <w:rPr>
          <w:b/>
          <w:bCs/>
        </w:rPr>
        <w:t>Poistné, platobné podmienky a fakturácia</w:t>
      </w:r>
    </w:p>
    <w:p w:rsidR="00413BFF" w:rsidRPr="009014F5" w:rsidRDefault="00413BFF" w:rsidP="00413BFF">
      <w:pPr>
        <w:numPr>
          <w:ilvl w:val="0"/>
          <w:numId w:val="19"/>
        </w:numPr>
        <w:spacing w:before="240"/>
        <w:jc w:val="both"/>
      </w:pPr>
      <w:r w:rsidRPr="009014F5">
        <w:t>Poistné bude hradené štvrťročne na základe predpisu poistného (avíza o poistení). Dátum splatnosti predpisu poistného (faktúry) je 30 dní od dátumu doručenia predpisu (faktúry) poistníkovi.</w:t>
      </w:r>
    </w:p>
    <w:p w:rsidR="00413BFF" w:rsidRPr="00AA7B01" w:rsidRDefault="00413BFF" w:rsidP="00413BFF">
      <w:pPr>
        <w:numPr>
          <w:ilvl w:val="0"/>
          <w:numId w:val="19"/>
        </w:numPr>
        <w:spacing w:before="240"/>
        <w:jc w:val="both"/>
      </w:pPr>
      <w:r w:rsidRPr="009014F5">
        <w:t>Predpokladané ročné poistné za všetky riziká a predmety poistenia predstavuj</w:t>
      </w:r>
      <w:r>
        <w:t>e čiastku: ..................................</w:t>
      </w:r>
      <w:r w:rsidRPr="009014F5">
        <w:rPr>
          <w:b/>
        </w:rPr>
        <w:t xml:space="preserve"> eur. </w:t>
      </w:r>
      <w:r w:rsidRPr="00F72249">
        <w:t>(</w:t>
      </w:r>
      <w:r>
        <w:t>slovom: ................................................................)</w:t>
      </w:r>
      <w:r w:rsidRPr="00A25231">
        <w:t>.</w:t>
      </w:r>
    </w:p>
    <w:p w:rsidR="00413BFF" w:rsidRPr="00AA7B01" w:rsidRDefault="00413BFF" w:rsidP="00413BFF">
      <w:pPr>
        <w:spacing w:before="240"/>
        <w:ind w:left="720"/>
        <w:jc w:val="both"/>
      </w:pPr>
      <w:r>
        <w:t xml:space="preserve">Predpokladané poistné za všetky riziká a predmety poistenia na obdobie 4 rokov predstavuje čiastku: ................................... </w:t>
      </w:r>
      <w:r w:rsidRPr="00AA7B01">
        <w:rPr>
          <w:b/>
        </w:rPr>
        <w:t>eur</w:t>
      </w:r>
      <w:r>
        <w:rPr>
          <w:b/>
        </w:rPr>
        <w:t xml:space="preserve">. </w:t>
      </w:r>
      <w:r>
        <w:t>(slovom: ........................................).</w:t>
      </w:r>
    </w:p>
    <w:p w:rsidR="00413BFF" w:rsidRPr="009014F5" w:rsidRDefault="00413BFF" w:rsidP="00413BFF">
      <w:pPr>
        <w:spacing w:before="240"/>
        <w:ind w:left="709" w:hanging="349"/>
        <w:jc w:val="both"/>
        <w:rPr>
          <w:color w:val="000000"/>
        </w:rPr>
      </w:pPr>
      <w:r w:rsidRPr="009014F5">
        <w:t>3.</w:t>
      </w:r>
      <w:r w:rsidRPr="009014F5">
        <w:tab/>
        <w:t xml:space="preserve">Výška poistného pre jednotlivé </w:t>
      </w:r>
      <w:r>
        <w:t>nemocnice</w:t>
      </w:r>
      <w:r w:rsidRPr="009014F5">
        <w:t xml:space="preserve"> je uvedená v </w:t>
      </w:r>
      <w:r w:rsidRPr="009014F5">
        <w:rPr>
          <w:i/>
        </w:rPr>
        <w:t>Prílohe č.</w:t>
      </w:r>
      <w:r>
        <w:rPr>
          <w:i/>
        </w:rPr>
        <w:t>1</w:t>
      </w:r>
      <w:r w:rsidRPr="009014F5">
        <w:rPr>
          <w:i/>
        </w:rPr>
        <w:t xml:space="preserve"> </w:t>
      </w:r>
      <w:r w:rsidRPr="009014F5">
        <w:t xml:space="preserve"> tejto Rámcovej</w:t>
      </w:r>
      <w:r w:rsidRPr="009014F5">
        <w:rPr>
          <w:color w:val="000000"/>
        </w:rPr>
        <w:t xml:space="preserve"> dohody. </w:t>
      </w:r>
    </w:p>
    <w:p w:rsidR="00413BFF" w:rsidRPr="009014F5" w:rsidRDefault="00413BFF" w:rsidP="00413BFF">
      <w:pPr>
        <w:spacing w:before="240"/>
        <w:ind w:left="709" w:hanging="349"/>
        <w:jc w:val="both"/>
        <w:rPr>
          <w:color w:val="000000"/>
        </w:rPr>
      </w:pPr>
      <w:r w:rsidRPr="009014F5">
        <w:rPr>
          <w:color w:val="000000"/>
        </w:rPr>
        <w:t>4.</w:t>
      </w:r>
      <w:r w:rsidRPr="009014F5">
        <w:rPr>
          <w:color w:val="000000"/>
        </w:rPr>
        <w:tab/>
        <w:t xml:space="preserve">Ročné sadzby za jednotlivé druhy poistenia sú záväzné počas celej doby trvania tejto Rámcovej dohody. Výška spoluúčasti </w:t>
      </w:r>
      <w:r w:rsidRPr="009014F5">
        <w:t>uvedená v </w:t>
      </w:r>
      <w:r w:rsidRPr="009014F5">
        <w:rPr>
          <w:i/>
        </w:rPr>
        <w:t xml:space="preserve">Prílohe č. </w:t>
      </w:r>
      <w:r>
        <w:rPr>
          <w:i/>
        </w:rPr>
        <w:t>1</w:t>
      </w:r>
      <w:r w:rsidRPr="009014F5">
        <w:t xml:space="preserve"> je stanovená</w:t>
      </w:r>
      <w:r w:rsidRPr="009014F5">
        <w:rPr>
          <w:color w:val="000000"/>
        </w:rPr>
        <w:t xml:space="preserve"> pevne a nie je možné ju meniť. </w:t>
      </w:r>
    </w:p>
    <w:p w:rsidR="00413BFF" w:rsidRPr="003712C5" w:rsidRDefault="00413BFF" w:rsidP="00413BFF">
      <w:pPr>
        <w:spacing w:before="240"/>
        <w:ind w:left="709" w:hanging="283"/>
        <w:jc w:val="both"/>
        <w:rPr>
          <w:rFonts w:cs="Times New Roman"/>
        </w:rPr>
      </w:pPr>
      <w:r w:rsidRPr="009014F5">
        <w:t>5.</w:t>
      </w:r>
      <w:r w:rsidRPr="009014F5">
        <w:tab/>
        <w:t xml:space="preserve">Cena za </w:t>
      </w:r>
      <w:r w:rsidRPr="003712C5">
        <w:rPr>
          <w:rFonts w:cs="Times New Roman"/>
        </w:rPr>
        <w:t xml:space="preserve">poskytnutie služby (poistné) je stanovená v zmysle zákona č. 18/1996 </w:t>
      </w:r>
      <w:proofErr w:type="spellStart"/>
      <w:r w:rsidRPr="003712C5">
        <w:rPr>
          <w:rFonts w:cs="Times New Roman"/>
        </w:rPr>
        <w:t>Z.z</w:t>
      </w:r>
      <w:proofErr w:type="spellEnd"/>
      <w:r w:rsidRPr="003712C5">
        <w:rPr>
          <w:rFonts w:cs="Times New Roman"/>
        </w:rPr>
        <w:t>. o cenách v znení neskorších predpisov.</w:t>
      </w:r>
    </w:p>
    <w:p w:rsidR="00413BFF" w:rsidRPr="003712C5" w:rsidRDefault="00413BFF" w:rsidP="00413BFF">
      <w:pPr>
        <w:spacing w:before="240"/>
        <w:ind w:left="709" w:hanging="283"/>
        <w:jc w:val="both"/>
        <w:rPr>
          <w:rFonts w:cs="Times New Roman"/>
        </w:rPr>
      </w:pPr>
    </w:p>
    <w:p w:rsidR="00413BFF" w:rsidRPr="003712C5" w:rsidRDefault="00413BFF" w:rsidP="00413BFF">
      <w:pPr>
        <w:pStyle w:val="Nadpis11"/>
        <w:kinsoku w:val="0"/>
        <w:overflowPunct w:val="0"/>
        <w:ind w:left="3249" w:right="3610" w:firstLine="612"/>
        <w:jc w:val="center"/>
        <w:outlineLvl w:val="9"/>
        <w:rPr>
          <w:sz w:val="22"/>
          <w:szCs w:val="22"/>
        </w:rPr>
      </w:pPr>
      <w:r w:rsidRPr="003712C5">
        <w:rPr>
          <w:sz w:val="22"/>
          <w:szCs w:val="22"/>
        </w:rPr>
        <w:t>Článok VII.</w:t>
      </w:r>
    </w:p>
    <w:p w:rsidR="00413BFF" w:rsidRPr="003712C5" w:rsidRDefault="00413BFF" w:rsidP="00413BFF">
      <w:pPr>
        <w:pStyle w:val="Nadpis11"/>
        <w:kinsoku w:val="0"/>
        <w:overflowPunct w:val="0"/>
        <w:ind w:left="3249" w:right="2710" w:hanging="272"/>
        <w:jc w:val="center"/>
        <w:outlineLvl w:val="9"/>
        <w:rPr>
          <w:b w:val="0"/>
          <w:bCs w:val="0"/>
          <w:sz w:val="22"/>
          <w:szCs w:val="22"/>
        </w:rPr>
      </w:pPr>
      <w:r w:rsidRPr="003712C5">
        <w:rPr>
          <w:sz w:val="22"/>
          <w:szCs w:val="22"/>
        </w:rPr>
        <w:t>Ukončenie zmluvy</w:t>
      </w:r>
    </w:p>
    <w:p w:rsidR="00413BFF" w:rsidRPr="003712C5" w:rsidRDefault="00413BFF" w:rsidP="00413BFF">
      <w:pPr>
        <w:kinsoku w:val="0"/>
        <w:overflowPunct w:val="0"/>
        <w:spacing w:before="15" w:line="220" w:lineRule="exact"/>
        <w:rPr>
          <w:rFonts w:cs="Times New Roman"/>
        </w:rPr>
      </w:pPr>
    </w:p>
    <w:p w:rsidR="00413BFF" w:rsidRPr="003712C5" w:rsidRDefault="00413BFF" w:rsidP="00413BFF">
      <w:pPr>
        <w:pStyle w:val="Odsekzoznamu"/>
        <w:numPr>
          <w:ilvl w:val="0"/>
          <w:numId w:val="23"/>
        </w:numPr>
        <w:spacing w:before="60"/>
        <w:jc w:val="both"/>
        <w:rPr>
          <w:rFonts w:ascii="Times New Roman" w:eastAsia="Calibri" w:hAnsi="Times New Roman" w:cs="Times New Roman"/>
        </w:rPr>
      </w:pPr>
      <w:r w:rsidRPr="003712C5">
        <w:rPr>
          <w:rFonts w:ascii="Times New Roman" w:eastAsia="Calibri" w:hAnsi="Times New Roman" w:cs="Times New Roman"/>
        </w:rPr>
        <w:t>Zmluvné strany sú oprávnené odstúpiť od tejto Rámcovej dohody na základe dôvodov uvedených v bode 2 až 2.4. tohto článku tejto Rámcovej dohody. Odstúpenie Zmluvnej strany nadobúda účinnosť doručením druhej Zmluvnej strane.</w:t>
      </w:r>
    </w:p>
    <w:p w:rsidR="00413BFF" w:rsidRPr="003712C5" w:rsidRDefault="00413BFF" w:rsidP="00413BFF">
      <w:pPr>
        <w:pStyle w:val="Odsekzoznamu"/>
        <w:spacing w:before="60"/>
        <w:ind w:left="360"/>
        <w:jc w:val="both"/>
        <w:rPr>
          <w:rFonts w:ascii="Times New Roman" w:eastAsia="Calibri" w:hAnsi="Times New Roman" w:cs="Times New Roman"/>
        </w:rPr>
      </w:pPr>
    </w:p>
    <w:p w:rsidR="00413BFF" w:rsidRPr="003712C5" w:rsidRDefault="00413BFF" w:rsidP="00413BFF">
      <w:pPr>
        <w:pStyle w:val="Odsekzoznamu"/>
        <w:numPr>
          <w:ilvl w:val="0"/>
          <w:numId w:val="23"/>
        </w:numPr>
        <w:spacing w:before="60"/>
        <w:jc w:val="both"/>
        <w:rPr>
          <w:rFonts w:ascii="Times New Roman" w:eastAsia="Calibri" w:hAnsi="Times New Roman" w:cs="Times New Roman"/>
        </w:rPr>
      </w:pPr>
      <w:r w:rsidRPr="003712C5">
        <w:rPr>
          <w:rFonts w:ascii="Times New Roman" w:eastAsia="Calibri" w:hAnsi="Times New Roman" w:cs="Times New Roman"/>
        </w:rPr>
        <w:t>Poistník je oprávnený odstúpiť od Rámcovej dohody z nasledovných dôvodov:</w:t>
      </w:r>
    </w:p>
    <w:p w:rsidR="00413BFF" w:rsidRPr="003712C5" w:rsidRDefault="00413BFF" w:rsidP="00413BFF">
      <w:pPr>
        <w:pStyle w:val="Odsekzoznamu"/>
        <w:numPr>
          <w:ilvl w:val="1"/>
          <w:numId w:val="23"/>
        </w:numPr>
        <w:spacing w:before="60"/>
        <w:jc w:val="both"/>
        <w:rPr>
          <w:rFonts w:ascii="Times New Roman" w:eastAsia="Calibri" w:hAnsi="Times New Roman" w:cs="Times New Roman"/>
        </w:rPr>
      </w:pPr>
      <w:r w:rsidRPr="003712C5">
        <w:rPr>
          <w:rFonts w:ascii="Times New Roman" w:eastAsia="Calibri" w:hAnsi="Times New Roman" w:cs="Times New Roman"/>
        </w:rPr>
        <w:t>ak súd právoplatne uzná kohokoľvek z členov štatutárneho orgánu Poisťovateľa alebo zamestnancov Poisťovateľa za vinných z trestného činu bezprostredne súvisiaceho s uzatváraním a/alebo plnením tejto Rámcovej dohody,</w:t>
      </w:r>
    </w:p>
    <w:p w:rsidR="00413BFF" w:rsidRPr="003712C5" w:rsidRDefault="00413BFF" w:rsidP="00413BFF">
      <w:pPr>
        <w:pStyle w:val="Odsekzoznamu"/>
        <w:numPr>
          <w:ilvl w:val="1"/>
          <w:numId w:val="23"/>
        </w:numPr>
        <w:spacing w:before="60"/>
        <w:jc w:val="both"/>
        <w:rPr>
          <w:rFonts w:ascii="Times New Roman" w:eastAsia="Calibri" w:hAnsi="Times New Roman" w:cs="Times New Roman"/>
        </w:rPr>
      </w:pPr>
      <w:r w:rsidRPr="003712C5">
        <w:rPr>
          <w:rFonts w:ascii="Times New Roman" w:eastAsia="Calibri" w:hAnsi="Times New Roman" w:cs="Times New Roman"/>
        </w:rPr>
        <w:t>strata nevyhnutnej kvalifikácie Poisťovateľa, vrátane, ale nielen, strata oprávnenia na vykonávanie činnosti, ktorá bezprostredne súvisí s predmetom tejto Rámcovej dohody, pokiaľ Poisťovateľ opätovne nezíska túto kvalifikáciu do 15 dní, alebo</w:t>
      </w:r>
    </w:p>
    <w:p w:rsidR="00413BFF" w:rsidRPr="003712C5" w:rsidRDefault="00413BFF" w:rsidP="00413BFF">
      <w:pPr>
        <w:pStyle w:val="Odsekzoznamu"/>
        <w:numPr>
          <w:ilvl w:val="1"/>
          <w:numId w:val="23"/>
        </w:numPr>
        <w:spacing w:before="60"/>
        <w:jc w:val="both"/>
        <w:rPr>
          <w:rFonts w:ascii="Times New Roman" w:eastAsia="Calibri" w:hAnsi="Times New Roman" w:cs="Times New Roman"/>
        </w:rPr>
      </w:pPr>
      <w:r w:rsidRPr="003712C5">
        <w:rPr>
          <w:rFonts w:ascii="Times New Roman" w:eastAsia="Calibri" w:hAnsi="Times New Roman" w:cs="Times New Roman"/>
        </w:rPr>
        <w:lastRenderedPageBreak/>
        <w:t>závažné porušenie povinností Poisťovateľa  podľa tejto Rámcovej dohody, pričom závažným porušením povinností Poisťovateľa sa rozumie:</w:t>
      </w:r>
    </w:p>
    <w:p w:rsidR="00413BFF" w:rsidRPr="003712C5" w:rsidRDefault="00413BFF" w:rsidP="00413BFF">
      <w:pPr>
        <w:pStyle w:val="Odsekzoznamu"/>
        <w:numPr>
          <w:ilvl w:val="2"/>
          <w:numId w:val="23"/>
        </w:numPr>
        <w:spacing w:before="60"/>
        <w:jc w:val="both"/>
        <w:rPr>
          <w:rFonts w:ascii="Times New Roman" w:eastAsia="Calibri" w:hAnsi="Times New Roman" w:cs="Times New Roman"/>
        </w:rPr>
      </w:pPr>
      <w:r w:rsidRPr="003712C5">
        <w:rPr>
          <w:rFonts w:ascii="Times New Roman" w:eastAsia="Calibri" w:hAnsi="Times New Roman" w:cs="Times New Roman"/>
        </w:rPr>
        <w:t>poskytnutie plnenia v rozpore s Opisom predmetu zákazky a touto Rámcovou dohodou,</w:t>
      </w:r>
    </w:p>
    <w:p w:rsidR="00413BFF" w:rsidRPr="003712C5" w:rsidRDefault="00413BFF" w:rsidP="00413BFF">
      <w:pPr>
        <w:pStyle w:val="Odsekzoznamu"/>
        <w:numPr>
          <w:ilvl w:val="2"/>
          <w:numId w:val="23"/>
        </w:numPr>
        <w:spacing w:before="60"/>
        <w:jc w:val="both"/>
        <w:rPr>
          <w:rFonts w:ascii="Times New Roman" w:eastAsia="Calibri" w:hAnsi="Times New Roman" w:cs="Times New Roman"/>
        </w:rPr>
      </w:pPr>
      <w:r w:rsidRPr="003712C5">
        <w:rPr>
          <w:rFonts w:ascii="Times New Roman" w:eastAsia="Calibri" w:hAnsi="Times New Roman" w:cs="Times New Roman"/>
        </w:rPr>
        <w:t xml:space="preserve">neodôvodnené nedodržanie pokynov Poistníka, za predpokladu, že dotknutý pokyn má podstatný význam pre poskytnutie plnenia podľa tejto Rámcovej dohody, </w:t>
      </w:r>
    </w:p>
    <w:p w:rsidR="00413BFF" w:rsidRPr="003712C5" w:rsidRDefault="00413BFF" w:rsidP="00413BFF">
      <w:pPr>
        <w:pStyle w:val="Odsekzoznamu"/>
        <w:numPr>
          <w:ilvl w:val="2"/>
          <w:numId w:val="23"/>
        </w:numPr>
        <w:spacing w:before="60"/>
        <w:jc w:val="both"/>
        <w:rPr>
          <w:rFonts w:ascii="Times New Roman" w:eastAsia="Calibri" w:hAnsi="Times New Roman" w:cs="Times New Roman"/>
        </w:rPr>
      </w:pPr>
      <w:r w:rsidRPr="003712C5">
        <w:rPr>
          <w:rFonts w:ascii="Times New Roman" w:eastAsia="Calibri" w:hAnsi="Times New Roman" w:cs="Times New Roman"/>
        </w:rPr>
        <w:t>podstatné omeškanie (t.j. viac ako 30</w:t>
      </w:r>
      <w:r w:rsidRPr="003712C5">
        <w:rPr>
          <w:rFonts w:ascii="Times New Roman" w:eastAsia="Calibri" w:hAnsi="Times New Roman" w:cs="Times New Roman"/>
          <w:b/>
        </w:rPr>
        <w:t xml:space="preserve"> </w:t>
      </w:r>
      <w:r w:rsidRPr="003712C5">
        <w:rPr>
          <w:rFonts w:ascii="Times New Roman" w:eastAsia="Calibri" w:hAnsi="Times New Roman" w:cs="Times New Roman"/>
        </w:rPr>
        <w:t>dní) v poskytnutí plnenia zavinené Poisťovateľom, ak v tejto Rámcovej dohode nie je uvedené inak,</w:t>
      </w:r>
    </w:p>
    <w:p w:rsidR="00413BFF" w:rsidRPr="003712C5" w:rsidRDefault="00413BFF" w:rsidP="00413BFF">
      <w:pPr>
        <w:pStyle w:val="Odsekzoznamu"/>
        <w:numPr>
          <w:ilvl w:val="2"/>
          <w:numId w:val="23"/>
        </w:numPr>
        <w:spacing w:before="60"/>
        <w:jc w:val="both"/>
        <w:rPr>
          <w:rFonts w:ascii="Times New Roman" w:eastAsia="Calibri" w:hAnsi="Times New Roman" w:cs="Times New Roman"/>
        </w:rPr>
      </w:pPr>
      <w:r w:rsidRPr="003712C5">
        <w:rPr>
          <w:rFonts w:ascii="Times New Roman" w:eastAsia="Calibri" w:hAnsi="Times New Roman" w:cs="Times New Roman"/>
        </w:rPr>
        <w:t>porušenie povinnosti vo vzťahu k subdodávateľovi podľa Článok</w:t>
      </w:r>
      <w:r w:rsidR="003712C5">
        <w:rPr>
          <w:rFonts w:ascii="Times New Roman" w:eastAsia="Calibri" w:hAnsi="Times New Roman" w:cs="Times New Roman"/>
        </w:rPr>
        <w:t>u</w:t>
      </w:r>
      <w:r w:rsidRPr="003712C5">
        <w:rPr>
          <w:rFonts w:ascii="Times New Roman" w:eastAsia="Calibri" w:hAnsi="Times New Roman" w:cs="Times New Roman"/>
        </w:rPr>
        <w:t xml:space="preserve"> VIII. a </w:t>
      </w:r>
      <w:proofErr w:type="spellStart"/>
      <w:r w:rsidRPr="003712C5">
        <w:rPr>
          <w:rFonts w:ascii="Times New Roman" w:eastAsia="Calibri" w:hAnsi="Times New Roman" w:cs="Times New Roman"/>
        </w:rPr>
        <w:t>nasl</w:t>
      </w:r>
      <w:proofErr w:type="spellEnd"/>
      <w:r w:rsidRPr="003712C5">
        <w:rPr>
          <w:rFonts w:ascii="Times New Roman" w:eastAsia="Calibri" w:hAnsi="Times New Roman" w:cs="Times New Roman"/>
        </w:rPr>
        <w:t>. Rámcovej dohody,</w:t>
      </w:r>
    </w:p>
    <w:p w:rsidR="00413BFF" w:rsidRPr="003712C5" w:rsidRDefault="00413BFF" w:rsidP="00413BFF">
      <w:pPr>
        <w:pStyle w:val="Odsekzoznamu"/>
        <w:numPr>
          <w:ilvl w:val="2"/>
          <w:numId w:val="23"/>
        </w:numPr>
        <w:spacing w:before="60"/>
        <w:jc w:val="both"/>
        <w:rPr>
          <w:rFonts w:ascii="Times New Roman" w:eastAsia="Calibri" w:hAnsi="Times New Roman" w:cs="Times New Roman"/>
        </w:rPr>
      </w:pPr>
      <w:r w:rsidRPr="003712C5">
        <w:rPr>
          <w:rFonts w:ascii="Times New Roman" w:eastAsia="Calibri" w:hAnsi="Times New Roman" w:cs="Times New Roman"/>
        </w:rPr>
        <w:t>v prípadoch ustanovených právnymi predpismi,</w:t>
      </w:r>
    </w:p>
    <w:p w:rsidR="00413BFF" w:rsidRPr="003712C5" w:rsidRDefault="00413BFF" w:rsidP="00413BFF">
      <w:pPr>
        <w:pStyle w:val="Odsekzoznamu"/>
        <w:numPr>
          <w:ilvl w:val="2"/>
          <w:numId w:val="23"/>
        </w:numPr>
        <w:spacing w:before="60"/>
        <w:jc w:val="both"/>
        <w:rPr>
          <w:rFonts w:ascii="Times New Roman" w:eastAsia="Calibri" w:hAnsi="Times New Roman" w:cs="Times New Roman"/>
        </w:rPr>
      </w:pPr>
      <w:r w:rsidRPr="003712C5">
        <w:rPr>
          <w:rFonts w:ascii="Times New Roman" w:eastAsia="Calibri" w:hAnsi="Times New Roman" w:cs="Times New Roman"/>
        </w:rPr>
        <w:t xml:space="preserve">ak nastanú právne skutočnosti majúce za následok zmenu v právnom postavení Poisťovateľa (napr. vyhlásenie konkurzu, vstup do likvidácie, zmena právnej formy, zmena v oprávneniach konať v mene Poisťovateľa) alebo akákoľvek iná zmena majúca priamy vplyv na plnenie zo strany Poisťovateľa, a Poisťovateľ neoznámi tieto skutočnosti Poistníkovi najneskôr do 10 dní odo dňa, kedy tieto skutočnosti nastali. Poisťovateľ zodpovedá za škodu spôsobenú Poistníkovi v dôsledku porušenia povinnosti podľa prvej vety tohto bodu a Poisťovateľ má právo odstúpiť od Rámcovej dohody. Za akúkoľvek inú zmenu sa považuje aj zmena bankového spojenia Poisťovateľa, pričom k tejto informácii je Poisťovateľ povinný predložiť aj potvrdenie príslušnej banky, </w:t>
      </w:r>
    </w:p>
    <w:p w:rsidR="00413BFF" w:rsidRPr="003712C5" w:rsidRDefault="00413BFF" w:rsidP="00413BFF">
      <w:pPr>
        <w:pStyle w:val="Odsekzoznamu"/>
        <w:numPr>
          <w:ilvl w:val="2"/>
          <w:numId w:val="23"/>
        </w:numPr>
        <w:spacing w:before="60"/>
        <w:jc w:val="both"/>
        <w:rPr>
          <w:rFonts w:ascii="Times New Roman" w:eastAsia="Calibri" w:hAnsi="Times New Roman" w:cs="Times New Roman"/>
        </w:rPr>
      </w:pPr>
      <w:r w:rsidRPr="003712C5">
        <w:rPr>
          <w:rFonts w:ascii="Times New Roman" w:eastAsia="Calibri" w:hAnsi="Times New Roman" w:cs="Times New Roman"/>
        </w:rPr>
        <w:t>ak na miesto Poisťovateľa vstúpi iná osoba následkom právneho nástupníctva,</w:t>
      </w:r>
    </w:p>
    <w:p w:rsidR="00413BFF" w:rsidRPr="003712C5" w:rsidRDefault="00413BFF" w:rsidP="00413BFF">
      <w:pPr>
        <w:pStyle w:val="Odsekzoznamu"/>
        <w:spacing w:before="60"/>
        <w:ind w:left="1224"/>
        <w:jc w:val="both"/>
        <w:rPr>
          <w:rFonts w:ascii="Times New Roman" w:eastAsia="Calibri" w:hAnsi="Times New Roman" w:cs="Times New Roman"/>
        </w:rPr>
      </w:pPr>
      <w:r w:rsidRPr="003712C5">
        <w:rPr>
          <w:rFonts w:ascii="Times New Roman" w:hAnsi="Times New Roman" w:cs="Times New Roman"/>
        </w:rPr>
        <w:t>Poisťovateľ je oprávnený odstúpiť od Rámcovej dohody výlučne z nasledovných dôvodov:</w:t>
      </w:r>
    </w:p>
    <w:p w:rsidR="00413BFF" w:rsidRPr="003712C5" w:rsidRDefault="00413BFF" w:rsidP="00413BFF">
      <w:pPr>
        <w:pStyle w:val="Odsekzoznamu"/>
        <w:numPr>
          <w:ilvl w:val="2"/>
          <w:numId w:val="23"/>
        </w:numPr>
        <w:spacing w:before="60"/>
        <w:jc w:val="both"/>
        <w:rPr>
          <w:rFonts w:ascii="Times New Roman" w:eastAsia="Calibri" w:hAnsi="Times New Roman" w:cs="Times New Roman"/>
        </w:rPr>
      </w:pPr>
      <w:r w:rsidRPr="003712C5">
        <w:rPr>
          <w:rFonts w:ascii="Times New Roman" w:hAnsi="Times New Roman" w:cs="Times New Roman"/>
        </w:rPr>
        <w:t>neposkytnutie súčinnosti Poisťovateľa, v dôsledku čoho sa podstatným spôsobom sťažilo alebo obmedzilo plnenie povinností Poistníka podľa tejto rámcovej dohody alebo sa toto plnenie znemožnilo.</w:t>
      </w:r>
    </w:p>
    <w:p w:rsidR="00413BFF" w:rsidRPr="003712C5" w:rsidRDefault="00413BFF" w:rsidP="00413BFF">
      <w:pPr>
        <w:pStyle w:val="Odsekzoznamu"/>
        <w:numPr>
          <w:ilvl w:val="1"/>
          <w:numId w:val="23"/>
        </w:numPr>
        <w:spacing w:before="60"/>
        <w:jc w:val="both"/>
        <w:rPr>
          <w:rFonts w:ascii="Times New Roman" w:eastAsia="Calibri" w:hAnsi="Times New Roman" w:cs="Times New Roman"/>
        </w:rPr>
      </w:pPr>
      <w:r w:rsidRPr="003712C5">
        <w:rPr>
          <w:rFonts w:ascii="Times New Roman" w:hAnsi="Times New Roman" w:cs="Times New Roman"/>
        </w:rPr>
        <w:t>Ak zistí niektorá zo Zmluvných strán pri plnení tejto Rámcovej dohody prekážku, ktorá znemožňuje riadne poskytnutie služby dohodnutým spôsobom, oznámi to bezodkladne druhej Zmluvnej strane a začne s ňou okamžite rokovať v dobrej viere na odstránení takejto prekážky. Pokiaľ sa Zmluvné strany nedohodnú do 30 dní odo dňa doručenia oznámenia, môže ktorákoľvek Zmluvná strana od zmluvy odstúpiť.</w:t>
      </w:r>
    </w:p>
    <w:p w:rsidR="00413BFF" w:rsidRPr="003712C5" w:rsidRDefault="00413BFF" w:rsidP="00413BFF">
      <w:pPr>
        <w:pStyle w:val="Odsekzoznamu"/>
        <w:spacing w:before="60"/>
        <w:ind w:left="792"/>
        <w:jc w:val="both"/>
        <w:rPr>
          <w:rFonts w:ascii="Times New Roman" w:eastAsia="Calibri" w:hAnsi="Times New Roman" w:cs="Times New Roman"/>
        </w:rPr>
      </w:pPr>
    </w:p>
    <w:p w:rsidR="00413BFF" w:rsidRPr="003712C5" w:rsidRDefault="00413BFF" w:rsidP="00413BFF">
      <w:pPr>
        <w:pStyle w:val="Odsekzoznamu"/>
        <w:numPr>
          <w:ilvl w:val="1"/>
          <w:numId w:val="23"/>
        </w:numPr>
        <w:spacing w:before="120"/>
        <w:jc w:val="both"/>
        <w:rPr>
          <w:rFonts w:ascii="Times New Roman" w:eastAsia="Calibri" w:hAnsi="Times New Roman" w:cs="Times New Roman"/>
        </w:rPr>
      </w:pPr>
      <w:r w:rsidRPr="003712C5">
        <w:rPr>
          <w:rFonts w:ascii="Times New Roman" w:hAnsi="Times New Roman" w:cs="Times New Roman"/>
        </w:rPr>
        <w:t xml:space="preserve">Túto Rámcovú dohodu môže každá zo zmluvných strán písomne vypovedať bez udania dôvodu s výpovednou lehotou 2 mesiacov. Výpovedná lehota začína plynúť prvým dňom mesiaca nasledujúceho po mesiaci, v ktorom bola písomná výpoveď doručená druhej zmluvnej strane. </w:t>
      </w:r>
    </w:p>
    <w:p w:rsidR="00413BFF" w:rsidRPr="003712C5" w:rsidRDefault="00413BFF" w:rsidP="00413BFF">
      <w:pPr>
        <w:spacing w:before="240"/>
        <w:ind w:left="709" w:hanging="283"/>
        <w:jc w:val="both"/>
        <w:rPr>
          <w:rFonts w:cs="Times New Roman"/>
        </w:rPr>
      </w:pPr>
    </w:p>
    <w:p w:rsidR="00413BFF" w:rsidRPr="003712C5" w:rsidRDefault="00413BFF" w:rsidP="00413BFF">
      <w:pPr>
        <w:spacing w:before="240"/>
        <w:jc w:val="both"/>
        <w:rPr>
          <w:rFonts w:cs="Times New Roman"/>
        </w:rPr>
      </w:pPr>
    </w:p>
    <w:p w:rsidR="00413BFF" w:rsidRPr="003712C5" w:rsidRDefault="00413BFF" w:rsidP="00413BFF">
      <w:pPr>
        <w:widowControl w:val="0"/>
        <w:kinsoku w:val="0"/>
        <w:overflowPunct w:val="0"/>
        <w:autoSpaceDE w:val="0"/>
        <w:autoSpaceDN w:val="0"/>
        <w:adjustRightInd w:val="0"/>
        <w:ind w:left="3905" w:right="3610"/>
        <w:jc w:val="center"/>
        <w:rPr>
          <w:rFonts w:eastAsiaTheme="minorEastAsia" w:cs="Times New Roman"/>
          <w:b/>
          <w:bCs/>
        </w:rPr>
      </w:pPr>
      <w:r w:rsidRPr="003712C5">
        <w:rPr>
          <w:rFonts w:eastAsiaTheme="minorEastAsia" w:cs="Times New Roman"/>
          <w:b/>
          <w:bCs/>
        </w:rPr>
        <w:t>Článok VIII.</w:t>
      </w:r>
    </w:p>
    <w:p w:rsidR="003712C5" w:rsidRPr="003712C5" w:rsidRDefault="003712C5" w:rsidP="00F4159F">
      <w:pPr>
        <w:spacing w:before="120" w:after="160" w:line="259" w:lineRule="auto"/>
        <w:ind w:left="360"/>
        <w:contextualSpacing/>
        <w:jc w:val="center"/>
        <w:rPr>
          <w:rFonts w:cs="Times New Roman"/>
          <w:b/>
        </w:rPr>
      </w:pPr>
      <w:r w:rsidRPr="003712C5">
        <w:rPr>
          <w:rFonts w:cs="Times New Roman"/>
          <w:b/>
        </w:rPr>
        <w:t>Subdodávateľská doložka</w:t>
      </w:r>
    </w:p>
    <w:p w:rsidR="003712C5" w:rsidRPr="004962A4" w:rsidRDefault="003712C5" w:rsidP="00F4159F">
      <w:pPr>
        <w:spacing w:before="120" w:after="160" w:line="259" w:lineRule="auto"/>
        <w:ind w:left="360"/>
        <w:contextualSpacing/>
        <w:jc w:val="center"/>
        <w:rPr>
          <w:rFonts w:eastAsia="Calibri" w:cs="Times New Roman"/>
          <w:b/>
        </w:rPr>
      </w:pPr>
    </w:p>
    <w:p w:rsidR="003712C5" w:rsidRPr="004962A4" w:rsidRDefault="003712C5" w:rsidP="003712C5">
      <w:pPr>
        <w:pStyle w:val="Odsekzoznamu"/>
        <w:numPr>
          <w:ilvl w:val="0"/>
          <w:numId w:val="30"/>
        </w:numPr>
        <w:spacing w:after="0" w:line="240" w:lineRule="auto"/>
        <w:jc w:val="both"/>
        <w:rPr>
          <w:rFonts w:ascii="Times New Roman" w:hAnsi="Times New Roman" w:cs="Times New Roman"/>
        </w:rPr>
      </w:pPr>
      <w:r w:rsidRPr="004962A4">
        <w:rPr>
          <w:rFonts w:ascii="Times New Roman" w:hAnsi="Times New Roman" w:cs="Times New Roman"/>
        </w:rPr>
        <w:t>Poisťovateľ je oprávnený plniť túto Rámcovú dohodu aj prostredníctvom tretích subjektov, a to subdodávateľov, pričom Poisťovateľ bez obmedzenia zodpovedá za odbornú starostlivosť pri výbere subdodávateľa, ako aj za služby vykonané a zabezpečené na</w:t>
      </w:r>
      <w:r>
        <w:rPr>
          <w:rFonts w:ascii="Times New Roman" w:hAnsi="Times New Roman" w:cs="Times New Roman"/>
        </w:rPr>
        <w:t xml:space="preserve"> základe zmluvy o </w:t>
      </w:r>
      <w:r w:rsidRPr="004962A4">
        <w:rPr>
          <w:rFonts w:ascii="Times New Roman" w:hAnsi="Times New Roman" w:cs="Times New Roman"/>
        </w:rPr>
        <w:t>subdodávke.</w:t>
      </w:r>
    </w:p>
    <w:p w:rsidR="003712C5" w:rsidRPr="004962A4" w:rsidRDefault="003712C5" w:rsidP="00F4159F">
      <w:pPr>
        <w:pStyle w:val="Odsekzoznamu"/>
        <w:jc w:val="both"/>
        <w:rPr>
          <w:rFonts w:ascii="Times New Roman" w:hAnsi="Times New Roman" w:cs="Times New Roman"/>
        </w:rPr>
      </w:pPr>
    </w:p>
    <w:p w:rsidR="003712C5" w:rsidRPr="004962A4" w:rsidRDefault="003712C5" w:rsidP="003712C5">
      <w:pPr>
        <w:pStyle w:val="Odsekzoznamu"/>
        <w:numPr>
          <w:ilvl w:val="0"/>
          <w:numId w:val="30"/>
        </w:numPr>
        <w:spacing w:after="0" w:line="240" w:lineRule="auto"/>
        <w:jc w:val="both"/>
        <w:rPr>
          <w:rFonts w:ascii="Times New Roman" w:hAnsi="Times New Roman" w:cs="Times New Roman"/>
        </w:rPr>
      </w:pPr>
      <w:r w:rsidRPr="004962A4">
        <w:rPr>
          <w:rFonts w:ascii="Times New Roman" w:hAnsi="Times New Roman" w:cs="Times New Roman"/>
        </w:rPr>
        <w:t xml:space="preserve">Zoznam všetkých známych subdodávateľov v čase uzatvorenia tejto Rámcovej dohody, vrátane údajov o osobe oprávnenej konať za subdodávateľa v rozsahu meno a priezvisko, adresa pobytu, dátum narodenia, je uvedený v Prílohe č. 4 tejto Rámcovej dohody. </w:t>
      </w:r>
    </w:p>
    <w:p w:rsidR="003712C5" w:rsidRPr="004962A4" w:rsidRDefault="003712C5" w:rsidP="00F4159F">
      <w:pPr>
        <w:jc w:val="both"/>
        <w:rPr>
          <w:rFonts w:cs="Times New Roman"/>
        </w:rPr>
      </w:pPr>
    </w:p>
    <w:p w:rsidR="003712C5" w:rsidRPr="004962A4" w:rsidRDefault="003712C5" w:rsidP="003712C5">
      <w:pPr>
        <w:pStyle w:val="Odsekzoznamu"/>
        <w:numPr>
          <w:ilvl w:val="0"/>
          <w:numId w:val="30"/>
        </w:numPr>
        <w:spacing w:after="0" w:line="240" w:lineRule="auto"/>
        <w:jc w:val="both"/>
        <w:rPr>
          <w:rFonts w:ascii="Times New Roman" w:hAnsi="Times New Roman" w:cs="Times New Roman"/>
        </w:rPr>
      </w:pPr>
      <w:r w:rsidRPr="004962A4">
        <w:rPr>
          <w:rFonts w:ascii="Times New Roman" w:hAnsi="Times New Roman" w:cs="Times New Roman"/>
        </w:rPr>
        <w:lastRenderedPageBreak/>
        <w:t xml:space="preserve">Akákoľvek zmena a/alebo doplnenie subdodávateľa podlieha schváleniu Poistníkom, ktorý takýto súhlas bez závažného dôvodu neodoprie. O súhlas v zmysle predchádzajúcej vety je Poisťovateľ povinný požiadať Poistníka najneskôr 5 (päť) dní pred plánovaným použitím nového subdodávateľa. </w:t>
      </w:r>
    </w:p>
    <w:p w:rsidR="003712C5" w:rsidRPr="004962A4" w:rsidRDefault="003712C5" w:rsidP="00F4159F">
      <w:pPr>
        <w:jc w:val="both"/>
        <w:rPr>
          <w:rFonts w:cs="Times New Roman"/>
        </w:rPr>
      </w:pPr>
    </w:p>
    <w:p w:rsidR="003712C5" w:rsidRPr="004962A4" w:rsidRDefault="003712C5" w:rsidP="003712C5">
      <w:pPr>
        <w:pStyle w:val="Odsekzoznamu"/>
        <w:numPr>
          <w:ilvl w:val="0"/>
          <w:numId w:val="30"/>
        </w:numPr>
        <w:spacing w:after="0" w:line="240" w:lineRule="auto"/>
        <w:jc w:val="both"/>
        <w:rPr>
          <w:rFonts w:ascii="Times New Roman" w:hAnsi="Times New Roman" w:cs="Times New Roman"/>
        </w:rPr>
      </w:pPr>
      <w:r w:rsidRPr="004962A4">
        <w:rPr>
          <w:rFonts w:ascii="Times New Roman" w:hAnsi="Times New Roman" w:cs="Times New Roman"/>
        </w:rPr>
        <w:t>Poisťovateľ je povinný zabezpečiť, aby jeho subdodávatelia a subdodávatelia v zmysle zákona č. 315/2016 Z. z. o registri partnerov verejného sektora a o zmene a doplnení niektorých zákonov (ďalej len „zákon č. 315/2016 Z. z.“), ktorým v súvislosti s touto Rámcovou dohodou vznikla povinnosť zápisu do Registra partnerov verejného s</w:t>
      </w:r>
      <w:r>
        <w:rPr>
          <w:rFonts w:ascii="Times New Roman" w:hAnsi="Times New Roman" w:cs="Times New Roman"/>
        </w:rPr>
        <w:t>ektora (ďalej len „Register“) v </w:t>
      </w:r>
      <w:r w:rsidRPr="004962A4">
        <w:rPr>
          <w:rFonts w:ascii="Times New Roman" w:hAnsi="Times New Roman" w:cs="Times New Roman"/>
        </w:rPr>
        <w:t>zmysle zákona č. 315/2016 Z. z., boli riadne, včas a po celú dobu trvania tejto Rámcovej dohody zapísaný do Registra.</w:t>
      </w:r>
    </w:p>
    <w:p w:rsidR="003712C5" w:rsidRPr="004962A4" w:rsidRDefault="003712C5" w:rsidP="00F4159F">
      <w:pPr>
        <w:pStyle w:val="Odsekzoznamu"/>
        <w:jc w:val="both"/>
        <w:rPr>
          <w:rFonts w:ascii="Times New Roman" w:hAnsi="Times New Roman" w:cs="Times New Roman"/>
        </w:rPr>
      </w:pPr>
    </w:p>
    <w:p w:rsidR="003712C5" w:rsidRPr="004962A4" w:rsidRDefault="003712C5" w:rsidP="003712C5">
      <w:pPr>
        <w:pStyle w:val="Odsekzoznamu"/>
        <w:numPr>
          <w:ilvl w:val="0"/>
          <w:numId w:val="30"/>
        </w:numPr>
        <w:spacing w:after="0" w:line="240" w:lineRule="auto"/>
        <w:jc w:val="both"/>
        <w:rPr>
          <w:rFonts w:ascii="Times New Roman" w:hAnsi="Times New Roman" w:cs="Times New Roman"/>
        </w:rPr>
      </w:pPr>
      <w:r w:rsidRPr="004962A4">
        <w:rPr>
          <w:rFonts w:ascii="Times New Roman" w:hAnsi="Times New Roman" w:cs="Times New Roman"/>
        </w:rPr>
        <w:t>Za účelom kontroly plnenia povinnosti Poisťovateľa v zmysle bodu 4 tohto článku Rámcovej dohody je Poisťovateľ povinný kedykoľvek na výzvu Poistníka bezodkladne, najneskôr však do 3 (troch) pracovných dní, predložiť Poistníkovi všetky zmluvy so subdodávateľmi identifikovanými v Prílohe č. 4 Rámcovej dohody, resp. následne doplnenými/ zmenenými postupom podľa bodu 3 tohto článku Rámcovej dohody, a zároveň predložiť zoznam všetkých subdodávateľov, ktorí napĺňajú definičné znaky partn</w:t>
      </w:r>
      <w:r>
        <w:rPr>
          <w:rFonts w:ascii="Times New Roman" w:hAnsi="Times New Roman" w:cs="Times New Roman"/>
        </w:rPr>
        <w:t>era verejného sektora zákona č. </w:t>
      </w:r>
      <w:r w:rsidRPr="004962A4">
        <w:rPr>
          <w:rFonts w:ascii="Times New Roman" w:hAnsi="Times New Roman" w:cs="Times New Roman"/>
        </w:rPr>
        <w:t>315/2016 Z. z., v dôsledku ich participácie na plnení tejt</w:t>
      </w:r>
      <w:r>
        <w:rPr>
          <w:rFonts w:ascii="Times New Roman" w:hAnsi="Times New Roman" w:cs="Times New Roman"/>
        </w:rPr>
        <w:t>o Rámcovej dohody. Za úplnosť a </w:t>
      </w:r>
      <w:r w:rsidRPr="004962A4">
        <w:rPr>
          <w:rFonts w:ascii="Times New Roman" w:hAnsi="Times New Roman" w:cs="Times New Roman"/>
        </w:rPr>
        <w:t>pravdivosť poskytnutých údajov nesie plnú zodpovednosť Poisťovateľ.</w:t>
      </w:r>
    </w:p>
    <w:p w:rsidR="003712C5" w:rsidRPr="004962A4" w:rsidRDefault="003712C5" w:rsidP="00F4159F">
      <w:pPr>
        <w:pStyle w:val="Odsekzoznamu"/>
        <w:rPr>
          <w:rFonts w:ascii="Times New Roman" w:hAnsi="Times New Roman" w:cs="Times New Roman"/>
        </w:rPr>
      </w:pPr>
    </w:p>
    <w:p w:rsidR="003712C5" w:rsidRPr="004962A4" w:rsidRDefault="003712C5" w:rsidP="003712C5">
      <w:pPr>
        <w:pStyle w:val="Odsekzoznamu"/>
        <w:numPr>
          <w:ilvl w:val="0"/>
          <w:numId w:val="30"/>
        </w:numPr>
        <w:spacing w:after="0" w:line="240" w:lineRule="auto"/>
        <w:jc w:val="both"/>
        <w:rPr>
          <w:rFonts w:ascii="Times New Roman" w:hAnsi="Times New Roman" w:cs="Times New Roman"/>
          <w:b/>
          <w:bCs/>
        </w:rPr>
      </w:pPr>
      <w:r w:rsidRPr="004962A4">
        <w:rPr>
          <w:rFonts w:ascii="Times New Roman" w:hAnsi="Times New Roman" w:cs="Times New Roman"/>
        </w:rPr>
        <w:t xml:space="preserve">V prípade ak Poisťovateľ poruší povinnosť podľa bodu 4 </w:t>
      </w:r>
      <w:r>
        <w:rPr>
          <w:rFonts w:ascii="Times New Roman" w:hAnsi="Times New Roman" w:cs="Times New Roman"/>
        </w:rPr>
        <w:t>tohto článku Rámcovej dohody, a </w:t>
      </w:r>
      <w:r w:rsidRPr="004962A4">
        <w:rPr>
          <w:rFonts w:ascii="Times New Roman" w:hAnsi="Times New Roman" w:cs="Times New Roman"/>
        </w:rPr>
        <w:t>teda bude táto Rámcová dohoda, plnená subdodávateľmi (resp. budú na jej plnení participovať subdodávatelia), ktorí si riadne nesplnili svoju zákonnú povinnosť zápisu do Registra (resp. jeho udržiavania), má Poistník právo na zmluvnú pokutu od Poisťovateľa vo výške 5.000,- € (slovom päťtisíc eur), a to za každého subdodávateľa a s</w:t>
      </w:r>
      <w:r>
        <w:rPr>
          <w:rFonts w:ascii="Times New Roman" w:hAnsi="Times New Roman" w:cs="Times New Roman"/>
        </w:rPr>
        <w:t>ubdodávateľa v </w:t>
      </w:r>
      <w:r w:rsidRPr="004962A4">
        <w:rPr>
          <w:rFonts w:ascii="Times New Roman" w:hAnsi="Times New Roman" w:cs="Times New Roman"/>
        </w:rPr>
        <w:t>zmysle zákona č. 315/2016 Z. z., ktorý sa riadne a včas nez</w:t>
      </w:r>
      <w:r>
        <w:rPr>
          <w:rFonts w:ascii="Times New Roman" w:hAnsi="Times New Roman" w:cs="Times New Roman"/>
        </w:rPr>
        <w:t>apíše do Registra, resp. bude z </w:t>
      </w:r>
      <w:r w:rsidRPr="004962A4">
        <w:rPr>
          <w:rFonts w:ascii="Times New Roman" w:hAnsi="Times New Roman" w:cs="Times New Roman"/>
        </w:rPr>
        <w:t>Registra vymazaný.</w:t>
      </w:r>
    </w:p>
    <w:p w:rsidR="003712C5" w:rsidRPr="004962A4" w:rsidRDefault="003712C5" w:rsidP="00F4159F">
      <w:pPr>
        <w:pStyle w:val="Odsekzoznamu"/>
        <w:tabs>
          <w:tab w:val="left" w:pos="709"/>
          <w:tab w:val="left" w:pos="1066"/>
          <w:tab w:val="left" w:pos="1423"/>
          <w:tab w:val="left" w:pos="1780"/>
          <w:tab w:val="left" w:pos="2138"/>
          <w:tab w:val="left" w:pos="2495"/>
          <w:tab w:val="left" w:pos="2852"/>
        </w:tabs>
        <w:jc w:val="both"/>
        <w:rPr>
          <w:rFonts w:ascii="Times New Roman" w:hAnsi="Times New Roman" w:cs="Times New Roman"/>
          <w:b/>
          <w:bCs/>
        </w:rPr>
      </w:pPr>
    </w:p>
    <w:p w:rsidR="003712C5" w:rsidRPr="004962A4" w:rsidRDefault="003712C5" w:rsidP="003712C5">
      <w:pPr>
        <w:pStyle w:val="Odsekzoznamu"/>
        <w:numPr>
          <w:ilvl w:val="0"/>
          <w:numId w:val="30"/>
        </w:numPr>
        <w:tabs>
          <w:tab w:val="left" w:pos="709"/>
          <w:tab w:val="left" w:pos="1066"/>
          <w:tab w:val="left" w:pos="1423"/>
          <w:tab w:val="left" w:pos="1780"/>
          <w:tab w:val="left" w:pos="2138"/>
          <w:tab w:val="left" w:pos="2495"/>
          <w:tab w:val="left" w:pos="2852"/>
        </w:tabs>
        <w:spacing w:after="0" w:line="240" w:lineRule="auto"/>
        <w:jc w:val="both"/>
        <w:rPr>
          <w:rFonts w:ascii="Times New Roman" w:hAnsi="Times New Roman" w:cs="Times New Roman"/>
          <w:b/>
          <w:bCs/>
        </w:rPr>
      </w:pPr>
      <w:r w:rsidRPr="004962A4">
        <w:rPr>
          <w:rFonts w:ascii="Times New Roman" w:hAnsi="Times New Roman" w:cs="Times New Roman"/>
        </w:rPr>
        <w:t>Pre zamedzenie pochybností, v prípade aktualizácie Prílohy č. 4, t. j. zmena údajov v zozname subdodávateľov, resp. zmena a/alebo doplnenie subdodávateľa, ako ani v prípade aktualizácie Prílohy č. 4, nie je potrebné vyhotoviť dodatok k tejto Rámcovej dohode.</w:t>
      </w:r>
    </w:p>
    <w:tbl>
      <w:tblPr>
        <w:tblW w:w="11120" w:type="dxa"/>
        <w:tblInd w:w="58" w:type="dxa"/>
        <w:tblCellMar>
          <w:left w:w="70" w:type="dxa"/>
          <w:right w:w="70" w:type="dxa"/>
        </w:tblCellMar>
        <w:tblLook w:val="04A0"/>
      </w:tblPr>
      <w:tblGrid>
        <w:gridCol w:w="2820"/>
        <w:gridCol w:w="1180"/>
        <w:gridCol w:w="1360"/>
        <w:gridCol w:w="1400"/>
        <w:gridCol w:w="1520"/>
        <w:gridCol w:w="1260"/>
        <w:gridCol w:w="1580"/>
      </w:tblGrid>
      <w:tr w:rsidR="00B24AE8" w:rsidRPr="006A12FC" w:rsidTr="006552D2">
        <w:trPr>
          <w:trHeight w:val="204"/>
        </w:trPr>
        <w:tc>
          <w:tcPr>
            <w:tcW w:w="5360" w:type="dxa"/>
            <w:gridSpan w:val="3"/>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ind w:right="-1526"/>
              <w:rPr>
                <w:rFonts w:eastAsia="Times New Roman" w:cs="Times New Roman"/>
                <w:b/>
                <w:bCs/>
                <w:color w:val="FF0000"/>
                <w:lang w:eastAsia="sk-SK"/>
              </w:rPr>
            </w:pPr>
          </w:p>
        </w:tc>
        <w:tc>
          <w:tcPr>
            <w:tcW w:w="140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52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26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58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r>
      <w:tr w:rsidR="00B24AE8" w:rsidRPr="006A12FC" w:rsidTr="006552D2">
        <w:trPr>
          <w:trHeight w:val="204"/>
        </w:trPr>
        <w:tc>
          <w:tcPr>
            <w:tcW w:w="282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b/>
                <w:bCs/>
                <w:color w:val="FF0000"/>
                <w:lang w:eastAsia="sk-SK"/>
              </w:rPr>
            </w:pPr>
          </w:p>
        </w:tc>
        <w:tc>
          <w:tcPr>
            <w:tcW w:w="118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b/>
                <w:bCs/>
                <w:color w:val="FF0000"/>
                <w:lang w:eastAsia="sk-SK"/>
              </w:rPr>
            </w:pPr>
          </w:p>
        </w:tc>
        <w:tc>
          <w:tcPr>
            <w:tcW w:w="136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40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52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26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58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r>
      <w:tr w:rsidR="00B24AE8" w:rsidRPr="006A12FC" w:rsidTr="006552D2">
        <w:trPr>
          <w:trHeight w:val="216"/>
        </w:trPr>
        <w:tc>
          <w:tcPr>
            <w:tcW w:w="282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b/>
                <w:bCs/>
                <w:color w:val="FF0000"/>
                <w:lang w:eastAsia="sk-SK"/>
              </w:rPr>
            </w:pPr>
          </w:p>
        </w:tc>
        <w:tc>
          <w:tcPr>
            <w:tcW w:w="118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b/>
                <w:bCs/>
                <w:color w:val="FF0000"/>
                <w:lang w:eastAsia="sk-SK"/>
              </w:rPr>
            </w:pPr>
          </w:p>
        </w:tc>
        <w:tc>
          <w:tcPr>
            <w:tcW w:w="136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40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52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260" w:type="dxa"/>
            <w:tcBorders>
              <w:top w:val="nil"/>
              <w:left w:val="nil"/>
              <w:bottom w:val="nil"/>
              <w:right w:val="nil"/>
            </w:tcBorders>
            <w:shd w:val="clear" w:color="auto" w:fill="auto"/>
            <w:noWrap/>
            <w:vAlign w:val="bottom"/>
            <w:hideMark/>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58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r>
      <w:tr w:rsidR="00B24AE8" w:rsidRPr="006A12FC" w:rsidTr="006552D2">
        <w:trPr>
          <w:trHeight w:val="216"/>
        </w:trPr>
        <w:tc>
          <w:tcPr>
            <w:tcW w:w="282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b/>
                <w:bCs/>
                <w:color w:val="FF0000"/>
                <w:lang w:eastAsia="sk-SK"/>
              </w:rPr>
            </w:pPr>
          </w:p>
        </w:tc>
        <w:tc>
          <w:tcPr>
            <w:tcW w:w="118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b/>
                <w:bCs/>
                <w:color w:val="FF0000"/>
                <w:lang w:eastAsia="sk-SK"/>
              </w:rPr>
            </w:pPr>
          </w:p>
        </w:tc>
        <w:tc>
          <w:tcPr>
            <w:tcW w:w="136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40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52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26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580" w:type="dxa"/>
            <w:tcBorders>
              <w:top w:val="nil"/>
              <w:left w:val="nil"/>
              <w:bottom w:val="nil"/>
              <w:right w:val="nil"/>
            </w:tcBorders>
            <w:shd w:val="clear" w:color="auto" w:fill="auto"/>
            <w:noWrap/>
            <w:vAlign w:val="bottom"/>
          </w:tcPr>
          <w:p w:rsidR="00B24AE8" w:rsidRPr="006A12FC" w:rsidRDefault="00B24AE8" w:rsidP="006552D2">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r>
    </w:tbl>
    <w:p w:rsidR="00B24AE8" w:rsidRPr="006A12FC" w:rsidRDefault="00B24AE8" w:rsidP="00B24AE8">
      <w:pPr>
        <w:rPr>
          <w:color w:val="FF0000"/>
        </w:rPr>
      </w:pPr>
    </w:p>
    <w:p w:rsidR="00413BFF" w:rsidRPr="009014F5" w:rsidRDefault="00413BFF" w:rsidP="00413BFF">
      <w:pPr>
        <w:ind w:left="360"/>
        <w:jc w:val="center"/>
        <w:rPr>
          <w:b/>
          <w:bCs/>
        </w:rPr>
      </w:pPr>
    </w:p>
    <w:p w:rsidR="00413BFF" w:rsidRPr="009014F5" w:rsidRDefault="00413BFF" w:rsidP="00413BFF">
      <w:pPr>
        <w:ind w:left="360"/>
        <w:jc w:val="center"/>
        <w:rPr>
          <w:b/>
          <w:bCs/>
        </w:rPr>
      </w:pPr>
      <w:r w:rsidRPr="009014F5">
        <w:rPr>
          <w:b/>
          <w:bCs/>
        </w:rPr>
        <w:t>Článok IX.</w:t>
      </w:r>
    </w:p>
    <w:p w:rsidR="00413BFF" w:rsidRPr="009014F5" w:rsidRDefault="00413BFF" w:rsidP="00413BFF">
      <w:pPr>
        <w:jc w:val="center"/>
        <w:rPr>
          <w:b/>
        </w:rPr>
      </w:pPr>
      <w:r w:rsidRPr="009014F5">
        <w:rPr>
          <w:b/>
        </w:rPr>
        <w:t>Záverečné ustanovenia</w:t>
      </w:r>
    </w:p>
    <w:p w:rsidR="00413BFF" w:rsidRPr="009014F5" w:rsidRDefault="00413BFF" w:rsidP="00413BFF">
      <w:pPr>
        <w:jc w:val="center"/>
        <w:rPr>
          <w:b/>
        </w:rPr>
      </w:pPr>
    </w:p>
    <w:p w:rsidR="00413BFF" w:rsidRPr="009014F5" w:rsidRDefault="00413BFF" w:rsidP="00413BFF">
      <w:pPr>
        <w:jc w:val="center"/>
        <w:rPr>
          <w:b/>
          <w:u w:val="single"/>
        </w:rPr>
      </w:pPr>
    </w:p>
    <w:p w:rsidR="00413BFF" w:rsidRPr="009014F5" w:rsidRDefault="00413BFF" w:rsidP="00413BFF">
      <w:pPr>
        <w:ind w:left="295" w:hanging="295"/>
        <w:contextualSpacing/>
        <w:jc w:val="both"/>
      </w:pPr>
      <w:r w:rsidRPr="009014F5">
        <w:t xml:space="preserve">1.  Rámcová dohoda nadobúda platnosť dňom jej podpísania oboma zmluvnými stranami a účinnosť dňom nasledujúcim po dni jej zverejnenia v zmysle § 47a Občianskeho zákonníka.  </w:t>
      </w:r>
    </w:p>
    <w:p w:rsidR="00413BFF" w:rsidRPr="009014F5" w:rsidRDefault="00413BFF" w:rsidP="00413BFF">
      <w:pPr>
        <w:ind w:left="295" w:hanging="295"/>
        <w:contextualSpacing/>
        <w:jc w:val="both"/>
      </w:pPr>
    </w:p>
    <w:p w:rsidR="00413BFF" w:rsidRPr="009014F5" w:rsidRDefault="00413BFF" w:rsidP="00413BFF">
      <w:pPr>
        <w:ind w:left="295" w:hanging="295"/>
        <w:jc w:val="both"/>
      </w:pPr>
      <w:r w:rsidRPr="009014F5">
        <w:t>2. Jednotlivé ustanovenia tejto Rámcovej dohody môžu byť menené, doplňované, resp. rušené</w:t>
      </w:r>
      <w:r w:rsidRPr="009014F5">
        <w:rPr>
          <w:b/>
        </w:rPr>
        <w:t xml:space="preserve"> </w:t>
      </w:r>
      <w:r w:rsidRPr="009014F5">
        <w:t>písomnou formou číslovaných dodatkov podpísané obidvomi zmluvnými stranami. Akékoľvek zmeny a/alebo dodatky k tejto zmluve musia byť v súlade so zákonom o VO.</w:t>
      </w:r>
    </w:p>
    <w:p w:rsidR="00413BFF" w:rsidRPr="009014F5" w:rsidRDefault="00413BFF" w:rsidP="00413BFF">
      <w:pPr>
        <w:ind w:left="295" w:hanging="295"/>
        <w:contextualSpacing/>
      </w:pPr>
    </w:p>
    <w:p w:rsidR="00413BFF" w:rsidRPr="009014F5" w:rsidRDefault="00413BFF" w:rsidP="00413BFF">
      <w:pPr>
        <w:ind w:left="295" w:hanging="295"/>
        <w:jc w:val="both"/>
      </w:pPr>
      <w:r w:rsidRPr="009014F5">
        <w:t xml:space="preserve">3.  Rámcová  dohoda je vyhotovená v 5 rovnopisoch, z ktorých Objednávateľ  </w:t>
      </w:r>
      <w:proofErr w:type="spellStart"/>
      <w:r w:rsidRPr="009014F5">
        <w:t>obdrží</w:t>
      </w:r>
      <w:proofErr w:type="spellEnd"/>
      <w:r w:rsidRPr="009014F5">
        <w:t xml:space="preserve"> 2 rovnopisy, Poskytovateľ </w:t>
      </w:r>
      <w:proofErr w:type="spellStart"/>
      <w:r w:rsidRPr="009014F5">
        <w:t>obdrží</w:t>
      </w:r>
      <w:proofErr w:type="spellEnd"/>
      <w:r w:rsidRPr="009014F5">
        <w:t xml:space="preserve"> 2 rovnopisy a Sprostredkovateľ 1 rovnopis Rámcovej dohody.</w:t>
      </w:r>
    </w:p>
    <w:p w:rsidR="00413BFF" w:rsidRPr="009014F5" w:rsidRDefault="00413BFF" w:rsidP="00413BFF">
      <w:pPr>
        <w:ind w:left="295" w:hanging="295"/>
        <w:jc w:val="both"/>
      </w:pPr>
    </w:p>
    <w:p w:rsidR="00413BFF" w:rsidRPr="009014F5" w:rsidRDefault="00413BFF" w:rsidP="00413BFF">
      <w:pPr>
        <w:ind w:left="295" w:hanging="295"/>
        <w:jc w:val="both"/>
      </w:pPr>
      <w:r w:rsidRPr="009014F5">
        <w:t xml:space="preserve">4. Právne vzťahy zmluvných strán vzniknuté na základe tejto Rámcovej dohody ako aj na základe čiastkových Poistných zmlúv sa riadia slovenským právnym poriadkom a prípadné spory  z poistenia budú rozhodovať príslušné súdy SR. </w:t>
      </w:r>
    </w:p>
    <w:p w:rsidR="00413BFF" w:rsidRPr="009014F5" w:rsidRDefault="00413BFF" w:rsidP="00413BFF">
      <w:pPr>
        <w:ind w:left="720" w:hanging="295"/>
        <w:contextualSpacing/>
      </w:pPr>
    </w:p>
    <w:p w:rsidR="00413BFF" w:rsidRPr="009014F5" w:rsidRDefault="00413BFF" w:rsidP="00413BFF">
      <w:pPr>
        <w:numPr>
          <w:ilvl w:val="0"/>
          <w:numId w:val="22"/>
        </w:numPr>
        <w:spacing w:after="160" w:line="259" w:lineRule="auto"/>
        <w:contextualSpacing/>
        <w:jc w:val="both"/>
        <w:rPr>
          <w:color w:val="000000"/>
        </w:rPr>
      </w:pPr>
      <w:r w:rsidRPr="009014F5">
        <w:t xml:space="preserve">Zmluvné strany </w:t>
      </w:r>
      <w:r w:rsidRPr="00A111E1">
        <w:t xml:space="preserve">sa dohodli na tom, že finančné sprostredkovanie v zmysle </w:t>
      </w:r>
      <w:proofErr w:type="spellStart"/>
      <w:r w:rsidRPr="00A111E1">
        <w:t>ust</w:t>
      </w:r>
      <w:proofErr w:type="spellEnd"/>
      <w:r w:rsidRPr="00A111E1">
        <w:t>. § 2 zákona č. 186/2009 Z. z. o finančnom sprostredkovaní a finančnom poradenstve a o zmene a doplnení niektorých zákonov v znení neskorších predpisov vykonáva pre poistníka/ poisteného pri tejto rámcovej dohode a poistných zmluvách uzatvorených na základe tejto rámcovej dohody  (ďalej spolu len „poistnej zmluve“) samostatný finančný agent. Samostatného finančného agenta oznámi poistník úspešnému uchádzačovi. Zmluvné strany sa dohodli na tom, že správa tejto rámcovej dohody, poistnej  zmluvy a likvidácia poistných udalostí z tejto poistnej zmluvy bude realizovaná pre poistníka/poisteného výlučne prostredníctvom samostatného finančného agenta.</w:t>
      </w:r>
    </w:p>
    <w:p w:rsidR="00413BFF" w:rsidRPr="009014F5" w:rsidRDefault="00413BFF" w:rsidP="00413BFF">
      <w:pPr>
        <w:spacing w:after="160" w:line="259" w:lineRule="auto"/>
        <w:ind w:left="360"/>
        <w:contextualSpacing/>
        <w:jc w:val="both"/>
        <w:rPr>
          <w:color w:val="000000"/>
        </w:rPr>
      </w:pPr>
    </w:p>
    <w:p w:rsidR="00413BFF" w:rsidRPr="009014F5" w:rsidRDefault="00413BFF" w:rsidP="00413BFF">
      <w:pPr>
        <w:numPr>
          <w:ilvl w:val="0"/>
          <w:numId w:val="22"/>
        </w:numPr>
        <w:spacing w:after="160" w:line="259" w:lineRule="auto"/>
        <w:contextualSpacing/>
        <w:jc w:val="both"/>
      </w:pPr>
      <w:r w:rsidRPr="009014F5">
        <w:t>Poisťovateľ nie je oprávnený postúpiť pohľadávky z Rámcovej dohody v zmysle § 524 a </w:t>
      </w:r>
      <w:proofErr w:type="spellStart"/>
      <w:r w:rsidRPr="009014F5">
        <w:t>nasl</w:t>
      </w:r>
      <w:proofErr w:type="spellEnd"/>
      <w:r w:rsidRPr="009014F5">
        <w:t>. zákona č. 40/1964 Zb. Občiansky zákonník v znení neskorších predpisov (ďalej len ,,Občiansky zákonník“) bez predchádzajúceho súhlasu Poistníka.  Právny úkon, ktorým budú postúpené pohľadávky Druhej zmluvnej strany v rozpore s dohodou Poistníka podľa predchádzajúcej vety, bude v zmysle § 39 Občianskeho zákonníka neplatný. Súhlas Poistníka je zároveň platný len za podmienky, že bol na takýto úkon udelený predchádzajúci písomný súhlas predsedu Trenčiansk</w:t>
      </w:r>
      <w:r>
        <w:t>e</w:t>
      </w:r>
      <w:r w:rsidRPr="009014F5">
        <w:t xml:space="preserve">ho samosprávneho kraja. </w:t>
      </w:r>
    </w:p>
    <w:p w:rsidR="00413BFF" w:rsidRPr="009014F5" w:rsidRDefault="00413BFF" w:rsidP="00413BFF">
      <w:pPr>
        <w:spacing w:after="160" w:line="259" w:lineRule="auto"/>
        <w:ind w:left="360"/>
        <w:contextualSpacing/>
        <w:jc w:val="both"/>
        <w:rPr>
          <w:rFonts w:asciiTheme="minorHAnsi" w:hAnsiTheme="minorHAnsi"/>
          <w:color w:val="000000"/>
        </w:rPr>
      </w:pPr>
    </w:p>
    <w:p w:rsidR="00413BFF" w:rsidRPr="009014F5" w:rsidRDefault="00413BFF" w:rsidP="00413BFF">
      <w:pPr>
        <w:ind w:left="720"/>
        <w:jc w:val="both"/>
        <w:rPr>
          <w:color w:val="000000"/>
        </w:rPr>
      </w:pPr>
    </w:p>
    <w:p w:rsidR="00413BFF" w:rsidRPr="009014F5" w:rsidRDefault="00413BFF" w:rsidP="00413BFF">
      <w:pPr>
        <w:jc w:val="both"/>
        <w:rPr>
          <w:color w:val="000000"/>
        </w:rPr>
      </w:pPr>
      <w:r w:rsidRPr="009014F5">
        <w:t>7. Prílohami tejto dohody sú:</w:t>
      </w:r>
    </w:p>
    <w:p w:rsidR="00413BFF" w:rsidRPr="009014F5" w:rsidRDefault="00413BFF" w:rsidP="00413BFF">
      <w:pPr>
        <w:ind w:left="1986" w:hanging="1986"/>
      </w:pPr>
      <w:r w:rsidRPr="009014F5">
        <w:tab/>
        <w:t xml:space="preserve">Príloha č. 1 – </w:t>
      </w:r>
      <w:r>
        <w:t>Tabuľka č. 1</w:t>
      </w:r>
      <w:r w:rsidRPr="009014F5">
        <w:t xml:space="preserve"> </w:t>
      </w:r>
    </w:p>
    <w:p w:rsidR="00413BFF" w:rsidRPr="009014F5" w:rsidRDefault="00413BFF" w:rsidP="00413BFF">
      <w:pPr>
        <w:ind w:hanging="1986"/>
        <w:jc w:val="both"/>
        <w:rPr>
          <w:color w:val="000000"/>
        </w:rPr>
      </w:pPr>
      <w:r w:rsidRPr="009014F5">
        <w:rPr>
          <w:color w:val="000000"/>
        </w:rPr>
        <w:tab/>
      </w:r>
      <w:r w:rsidRPr="009014F5">
        <w:rPr>
          <w:color w:val="000000"/>
        </w:rPr>
        <w:tab/>
        <w:t>Príloha č. 2</w:t>
      </w:r>
      <w:r w:rsidRPr="009014F5">
        <w:t xml:space="preserve"> – </w:t>
      </w:r>
      <w:r>
        <w:t>Rozhodnutia, oprávnenia, povolenia</w:t>
      </w:r>
    </w:p>
    <w:p w:rsidR="00413BFF" w:rsidRDefault="00413BFF" w:rsidP="00413BFF">
      <w:pPr>
        <w:ind w:hanging="1986"/>
        <w:jc w:val="both"/>
      </w:pPr>
      <w:r w:rsidRPr="009014F5">
        <w:tab/>
      </w:r>
      <w:r w:rsidRPr="009014F5">
        <w:tab/>
        <w:t>Príloha č. 3 – Všeobecné poistné podmienky, zmluvné dojednania poisťovateľa</w:t>
      </w:r>
    </w:p>
    <w:p w:rsidR="00413BFF" w:rsidRPr="009014F5" w:rsidRDefault="00413BFF" w:rsidP="00413BFF">
      <w:pPr>
        <w:ind w:hanging="1986"/>
        <w:jc w:val="both"/>
      </w:pPr>
      <w:r w:rsidRPr="009014F5">
        <w:tab/>
      </w:r>
      <w:r w:rsidRPr="009014F5">
        <w:tab/>
        <w:t xml:space="preserve">Príloha č. 4 – </w:t>
      </w:r>
      <w:r w:rsidRPr="009014F5">
        <w:rPr>
          <w:rFonts w:eastAsia="Calibri"/>
        </w:rPr>
        <w:t>Zoznam subdodávateľov</w:t>
      </w:r>
    </w:p>
    <w:p w:rsidR="00413BFF" w:rsidRPr="009014F5" w:rsidRDefault="00413BFF" w:rsidP="00413BFF">
      <w:pPr>
        <w:jc w:val="both"/>
        <w:rPr>
          <w:color w:val="FF0000"/>
        </w:rPr>
      </w:pPr>
    </w:p>
    <w:p w:rsidR="00413BFF" w:rsidRPr="009014F5" w:rsidRDefault="00413BFF" w:rsidP="00413BFF">
      <w:pPr>
        <w:jc w:val="both"/>
        <w:rPr>
          <w:color w:val="FF0000"/>
        </w:rPr>
      </w:pPr>
    </w:p>
    <w:p w:rsidR="00413BFF" w:rsidRPr="009014F5" w:rsidRDefault="00413BFF" w:rsidP="00413BFF">
      <w:pPr>
        <w:jc w:val="both"/>
        <w:rPr>
          <w:color w:val="FF0000"/>
        </w:rPr>
      </w:pPr>
    </w:p>
    <w:p w:rsidR="00413BFF" w:rsidRPr="009014F5" w:rsidRDefault="00413BFF" w:rsidP="00413BFF">
      <w:r w:rsidRPr="009014F5">
        <w:t>V</w:t>
      </w:r>
      <w:r>
        <w:t> ...............................</w:t>
      </w:r>
      <w:r w:rsidRPr="009014F5">
        <w:t>,  dňa .......................                      V Trenčíne dňa,  .........................</w:t>
      </w:r>
    </w:p>
    <w:p w:rsidR="00413BFF" w:rsidRPr="009014F5" w:rsidRDefault="00413BFF" w:rsidP="00413BFF">
      <w:pPr>
        <w:jc w:val="both"/>
        <w:rPr>
          <w:bCs/>
        </w:rPr>
      </w:pPr>
    </w:p>
    <w:p w:rsidR="00413BFF" w:rsidRPr="009014F5" w:rsidRDefault="00413BFF" w:rsidP="00413BFF">
      <w:pPr>
        <w:jc w:val="both"/>
        <w:rPr>
          <w:b/>
          <w:bCs/>
        </w:rPr>
      </w:pPr>
      <w:r w:rsidRPr="009014F5">
        <w:rPr>
          <w:bCs/>
        </w:rPr>
        <w:t xml:space="preserve">Za Poskytovateľa:                                            </w:t>
      </w:r>
      <w:r w:rsidRPr="009014F5">
        <w:rPr>
          <w:bCs/>
        </w:rPr>
        <w:tab/>
        <w:t xml:space="preserve">             Za Objednávateľa</w:t>
      </w:r>
      <w:r w:rsidRPr="009014F5">
        <w:rPr>
          <w:bCs/>
          <w:color w:val="000000"/>
        </w:rPr>
        <w:t>:</w:t>
      </w:r>
      <w:r w:rsidRPr="009014F5">
        <w:rPr>
          <w:b/>
          <w:bCs/>
        </w:rPr>
        <w:tab/>
        <w:t xml:space="preserve"> </w:t>
      </w:r>
    </w:p>
    <w:p w:rsidR="00413BFF" w:rsidRPr="009014F5" w:rsidRDefault="00413BFF" w:rsidP="00413BFF">
      <w:pPr>
        <w:jc w:val="both"/>
        <w:rPr>
          <w:b/>
          <w:bCs/>
        </w:rPr>
      </w:pPr>
    </w:p>
    <w:p w:rsidR="00413BFF" w:rsidRPr="009014F5" w:rsidRDefault="00413BFF" w:rsidP="00413BFF">
      <w:pPr>
        <w:jc w:val="both"/>
        <w:rPr>
          <w:b/>
          <w:bCs/>
        </w:rPr>
      </w:pPr>
    </w:p>
    <w:p w:rsidR="00413BFF" w:rsidRPr="009014F5" w:rsidRDefault="00413BFF" w:rsidP="00413BFF">
      <w:pPr>
        <w:jc w:val="both"/>
        <w:rPr>
          <w:b/>
          <w:bCs/>
        </w:rPr>
      </w:pPr>
    </w:p>
    <w:p w:rsidR="00413BFF" w:rsidRPr="009014F5" w:rsidRDefault="00413BFF" w:rsidP="00413BFF">
      <w:pPr>
        <w:spacing w:after="160" w:line="259" w:lineRule="auto"/>
        <w:jc w:val="center"/>
        <w:rPr>
          <w:rFonts w:eastAsiaTheme="majorEastAsia"/>
          <w:b/>
          <w:color w:val="FF0000"/>
        </w:rPr>
      </w:pPr>
    </w:p>
    <w:tbl>
      <w:tblPr>
        <w:tblStyle w:val="Mriekatabu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58"/>
        <w:gridCol w:w="4489"/>
      </w:tblGrid>
      <w:tr w:rsidR="00413BFF" w:rsidRPr="00A25231" w:rsidTr="00237F29">
        <w:trPr>
          <w:jc w:val="center"/>
        </w:trPr>
        <w:tc>
          <w:tcPr>
            <w:tcW w:w="4458" w:type="dxa"/>
          </w:tcPr>
          <w:p w:rsidR="00413BFF" w:rsidRPr="00DC5DA8" w:rsidRDefault="00413BFF" w:rsidP="00237F29">
            <w:pPr>
              <w:suppressAutoHyphens/>
              <w:spacing w:before="9" w:line="240" w:lineRule="exact"/>
              <w:jc w:val="center"/>
              <w:rPr>
                <w:rFonts w:cs="Times New Roman"/>
              </w:rPr>
            </w:pPr>
            <w:r w:rsidRPr="00DC5DA8">
              <w:rPr>
                <w:rFonts w:cs="Times New Roman"/>
              </w:rPr>
              <w:t>––––––</w:t>
            </w:r>
            <w:r w:rsidRPr="00DC5DA8">
              <w:rPr>
                <w:rFonts w:cs="Times New Roman"/>
                <w:spacing w:val="-3"/>
              </w:rPr>
              <w:t>–</w:t>
            </w:r>
            <w:r w:rsidRPr="00DC5DA8">
              <w:rPr>
                <w:rFonts w:cs="Times New Roman"/>
              </w:rPr>
              <w:t>–––––</w:t>
            </w:r>
            <w:r w:rsidRPr="00DC5DA8">
              <w:rPr>
                <w:rFonts w:cs="Times New Roman"/>
                <w:spacing w:val="-3"/>
              </w:rPr>
              <w:t>–</w:t>
            </w:r>
            <w:r w:rsidRPr="00DC5DA8">
              <w:rPr>
                <w:rFonts w:cs="Times New Roman"/>
              </w:rPr>
              <w:t>–––––</w:t>
            </w:r>
            <w:r w:rsidRPr="00DC5DA8">
              <w:rPr>
                <w:rFonts w:cs="Times New Roman"/>
                <w:spacing w:val="-3"/>
              </w:rPr>
              <w:t>––</w:t>
            </w:r>
            <w:r w:rsidRPr="00DC5DA8">
              <w:rPr>
                <w:rFonts w:cs="Times New Roman"/>
              </w:rPr>
              <w:t>–––––––</w:t>
            </w:r>
          </w:p>
          <w:p w:rsidR="00413BFF" w:rsidRPr="00DC5DA8" w:rsidRDefault="00413BFF" w:rsidP="00237F29">
            <w:pPr>
              <w:suppressAutoHyphens/>
              <w:spacing w:before="9" w:line="240" w:lineRule="exact"/>
              <w:jc w:val="center"/>
              <w:rPr>
                <w:rFonts w:cs="Times New Roman"/>
              </w:rPr>
            </w:pPr>
          </w:p>
        </w:tc>
        <w:tc>
          <w:tcPr>
            <w:tcW w:w="4489" w:type="dxa"/>
          </w:tcPr>
          <w:p w:rsidR="00413BFF" w:rsidRPr="00A25231" w:rsidRDefault="00413BFF" w:rsidP="00237F29">
            <w:pPr>
              <w:suppressAutoHyphens/>
              <w:spacing w:before="9" w:line="240" w:lineRule="exact"/>
              <w:jc w:val="center"/>
              <w:rPr>
                <w:rFonts w:cs="Times New Roman"/>
              </w:rPr>
            </w:pPr>
            <w:r w:rsidRPr="00A25231">
              <w:rPr>
                <w:rFonts w:cs="Times New Roman"/>
              </w:rPr>
              <w:t>–––––</w:t>
            </w:r>
            <w:r w:rsidRPr="00A25231">
              <w:rPr>
                <w:rFonts w:cs="Times New Roman"/>
                <w:spacing w:val="-3"/>
              </w:rPr>
              <w:t>–</w:t>
            </w:r>
            <w:r w:rsidRPr="00A25231">
              <w:rPr>
                <w:rFonts w:cs="Times New Roman"/>
              </w:rPr>
              <w:t>–––––</w:t>
            </w:r>
            <w:r w:rsidRPr="00A25231">
              <w:rPr>
                <w:rFonts w:cs="Times New Roman"/>
                <w:spacing w:val="-3"/>
              </w:rPr>
              <w:t>–</w:t>
            </w:r>
            <w:r w:rsidRPr="00A25231">
              <w:rPr>
                <w:rFonts w:cs="Times New Roman"/>
              </w:rPr>
              <w:t>–––––</w:t>
            </w:r>
            <w:r w:rsidRPr="00A25231">
              <w:rPr>
                <w:rFonts w:cs="Times New Roman"/>
                <w:spacing w:val="-3"/>
              </w:rPr>
              <w:t>––</w:t>
            </w:r>
            <w:r w:rsidRPr="00A25231">
              <w:rPr>
                <w:rFonts w:cs="Times New Roman"/>
              </w:rPr>
              <w:t>––––––––</w:t>
            </w:r>
          </w:p>
          <w:p w:rsidR="00413BFF" w:rsidRPr="00DC5DA8" w:rsidRDefault="00413BFF" w:rsidP="00237F29">
            <w:pPr>
              <w:suppressAutoHyphens/>
              <w:spacing w:before="9" w:line="240" w:lineRule="exact"/>
              <w:jc w:val="center"/>
              <w:rPr>
                <w:rFonts w:cs="Times New Roman"/>
              </w:rPr>
            </w:pPr>
            <w:r w:rsidRPr="00DC5DA8">
              <w:rPr>
                <w:rFonts w:cs="Times New Roman"/>
              </w:rPr>
              <w:t>Ing. Jaroslav Baška</w:t>
            </w:r>
          </w:p>
          <w:p w:rsidR="00413BFF" w:rsidRPr="00A25231" w:rsidRDefault="00413BFF" w:rsidP="00237F29">
            <w:pPr>
              <w:suppressAutoHyphens/>
              <w:spacing w:before="9" w:line="240" w:lineRule="exact"/>
              <w:jc w:val="center"/>
              <w:rPr>
                <w:rFonts w:cs="Times New Roman"/>
              </w:rPr>
            </w:pPr>
            <w:r w:rsidRPr="00DC5DA8">
              <w:rPr>
                <w:rFonts w:cs="Times New Roman"/>
              </w:rPr>
              <w:t>predseda</w:t>
            </w:r>
          </w:p>
        </w:tc>
      </w:tr>
    </w:tbl>
    <w:p w:rsidR="00413BFF" w:rsidRPr="009E24B2" w:rsidRDefault="00413BFF" w:rsidP="00413BFF">
      <w:pPr>
        <w:pStyle w:val="Nadpis11"/>
        <w:kinsoku w:val="0"/>
        <w:overflowPunct w:val="0"/>
        <w:ind w:left="0" w:right="3610"/>
        <w:outlineLvl w:val="9"/>
        <w:rPr>
          <w:bCs w:val="0"/>
        </w:rPr>
      </w:pPr>
    </w:p>
    <w:p w:rsidR="00610CD2" w:rsidRDefault="00610CD2" w:rsidP="00610CD2">
      <w:pPr>
        <w:pStyle w:val="Nadpis11"/>
        <w:kinsoku w:val="0"/>
        <w:overflowPunct w:val="0"/>
        <w:ind w:left="0" w:right="3610"/>
        <w:outlineLvl w:val="9"/>
        <w:rPr>
          <w:bCs w:val="0"/>
        </w:rPr>
      </w:pPr>
    </w:p>
    <w:p w:rsidR="00716BE1" w:rsidRDefault="00716BE1" w:rsidP="00610CD2">
      <w:pPr>
        <w:pStyle w:val="Nadpis11"/>
        <w:kinsoku w:val="0"/>
        <w:overflowPunct w:val="0"/>
        <w:ind w:left="0" w:right="3610"/>
        <w:outlineLvl w:val="9"/>
        <w:rPr>
          <w:bCs w:val="0"/>
        </w:rPr>
      </w:pPr>
    </w:p>
    <w:p w:rsidR="00716BE1" w:rsidRDefault="00716BE1" w:rsidP="00610CD2">
      <w:pPr>
        <w:pStyle w:val="Nadpis11"/>
        <w:kinsoku w:val="0"/>
        <w:overflowPunct w:val="0"/>
        <w:ind w:left="0" w:right="3610"/>
        <w:outlineLvl w:val="9"/>
        <w:rPr>
          <w:bCs w:val="0"/>
        </w:rPr>
        <w:sectPr w:rsidR="00716BE1" w:rsidSect="00B3165C">
          <w:pgSz w:w="11906" w:h="16838"/>
          <w:pgMar w:top="1417" w:right="1417" w:bottom="1417" w:left="1417" w:header="708" w:footer="708" w:gutter="0"/>
          <w:cols w:space="708"/>
          <w:docGrid w:linePitch="360"/>
        </w:sectPr>
      </w:pPr>
    </w:p>
    <w:p w:rsidR="00610CD2" w:rsidRDefault="00610CD2" w:rsidP="00610CD2">
      <w:pPr>
        <w:pStyle w:val="Nadpis11"/>
        <w:kinsoku w:val="0"/>
        <w:overflowPunct w:val="0"/>
        <w:ind w:left="0" w:right="3610"/>
        <w:outlineLvl w:val="9"/>
        <w:rPr>
          <w:bCs w:val="0"/>
        </w:rPr>
      </w:pPr>
    </w:p>
    <w:tbl>
      <w:tblPr>
        <w:tblW w:w="5000" w:type="pct"/>
        <w:tblCellMar>
          <w:left w:w="70" w:type="dxa"/>
          <w:right w:w="70" w:type="dxa"/>
        </w:tblCellMar>
        <w:tblLook w:val="04A0"/>
      </w:tblPr>
      <w:tblGrid>
        <w:gridCol w:w="6789"/>
        <w:gridCol w:w="2153"/>
        <w:gridCol w:w="1284"/>
        <w:gridCol w:w="2059"/>
        <w:gridCol w:w="512"/>
        <w:gridCol w:w="1347"/>
      </w:tblGrid>
      <w:tr w:rsidR="00254283" w:rsidRPr="00254283" w:rsidTr="00B24AE8">
        <w:trPr>
          <w:trHeight w:val="288"/>
        </w:trPr>
        <w:tc>
          <w:tcPr>
            <w:tcW w:w="2400"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761"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454"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728"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81"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476"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r>
      <w:tr w:rsidR="00254283" w:rsidRPr="00254283" w:rsidTr="00B24AE8">
        <w:trPr>
          <w:trHeight w:val="288"/>
        </w:trPr>
        <w:tc>
          <w:tcPr>
            <w:tcW w:w="2400"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761"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454"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728"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181"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c>
          <w:tcPr>
            <w:tcW w:w="476" w:type="pct"/>
            <w:tcBorders>
              <w:top w:val="nil"/>
              <w:left w:val="nil"/>
              <w:bottom w:val="nil"/>
              <w:right w:val="nil"/>
            </w:tcBorders>
            <w:shd w:val="clear" w:color="auto" w:fill="auto"/>
            <w:noWrap/>
            <w:vAlign w:val="bottom"/>
            <w:hideMark/>
          </w:tcPr>
          <w:p w:rsidR="00610CD2" w:rsidRPr="00254283" w:rsidRDefault="00610CD2" w:rsidP="00C73740">
            <w:pPr>
              <w:tabs>
                <w:tab w:val="clear" w:pos="709"/>
                <w:tab w:val="clear" w:pos="1066"/>
                <w:tab w:val="clear" w:pos="1423"/>
                <w:tab w:val="clear" w:pos="1780"/>
                <w:tab w:val="clear" w:pos="2138"/>
                <w:tab w:val="clear" w:pos="2495"/>
                <w:tab w:val="clear" w:pos="2852"/>
              </w:tabs>
              <w:rPr>
                <w:rFonts w:eastAsia="Times New Roman" w:cs="Times New Roman"/>
                <w:color w:val="FF0000"/>
                <w:lang w:eastAsia="sk-SK"/>
              </w:rPr>
            </w:pPr>
          </w:p>
        </w:tc>
      </w:tr>
    </w:tbl>
    <w:p w:rsidR="001A21E8" w:rsidRPr="00254283" w:rsidRDefault="001A21E8">
      <w:pPr>
        <w:rPr>
          <w:color w:val="FF0000"/>
        </w:rPr>
      </w:pPr>
    </w:p>
    <w:p w:rsidR="001A21E8" w:rsidRPr="00254283" w:rsidRDefault="001A21E8">
      <w:pPr>
        <w:rPr>
          <w:color w:val="FF0000"/>
        </w:rPr>
      </w:pPr>
    </w:p>
    <w:p w:rsidR="001A21E8" w:rsidRPr="00254283" w:rsidRDefault="001A21E8">
      <w:pPr>
        <w:rPr>
          <w:color w:val="FF0000"/>
        </w:rPr>
      </w:pPr>
    </w:p>
    <w:p w:rsidR="001A21E8" w:rsidRDefault="001A21E8"/>
    <w:sectPr w:rsidR="001A21E8" w:rsidSect="00716BE1">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A5C2E"/>
    <w:multiLevelType w:val="multilevel"/>
    <w:tmpl w:val="0A70D716"/>
    <w:lvl w:ilvl="0">
      <w:start w:val="1"/>
      <w:numFmt w:val="upperLetter"/>
      <w:pStyle w:val="Nadpis1"/>
      <w:lvlText w:val="%1."/>
      <w:lvlJc w:val="left"/>
      <w:pPr>
        <w:ind w:left="496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hint="default"/>
      </w:rPr>
    </w:lvl>
    <w:lvl w:ilvl="3">
      <w:start w:val="1"/>
      <w:numFmt w:val="decimal"/>
      <w:pStyle w:val="Cislo-2-text"/>
      <w:lvlText w:val="%3.%4"/>
      <w:lvlJc w:val="left"/>
      <w:pPr>
        <w:tabs>
          <w:tab w:val="num" w:pos="709"/>
        </w:tabs>
        <w:ind w:left="709" w:hanging="709"/>
      </w:pPr>
      <w:rPr>
        <w:rFonts w:hint="default"/>
        <w:i w:val="0"/>
        <w:color w:val="auto"/>
        <w:sz w:val="24"/>
        <w:szCs w:val="24"/>
      </w:rPr>
    </w:lvl>
    <w:lvl w:ilvl="4">
      <w:start w:val="1"/>
      <w:numFmt w:val="decimal"/>
      <w:pStyle w:val="Cislo-3-text"/>
      <w:lvlText w:val="%3.%4.%5"/>
      <w:lvlJc w:val="left"/>
      <w:pPr>
        <w:tabs>
          <w:tab w:val="num" w:pos="709"/>
        </w:tabs>
        <w:ind w:left="709" w:hanging="709"/>
      </w:pPr>
      <w:rPr>
        <w:rFonts w:hint="default"/>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
    <w:nsid w:val="13B53E0D"/>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3F71DFA"/>
    <w:multiLevelType w:val="multilevel"/>
    <w:tmpl w:val="50949278"/>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Calibri" w:hAnsi="Times New Roman" w:cs="Times New Roman"/>
        <w:b/>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b w:val="0"/>
      </w:rPr>
    </w:lvl>
    <w:lvl w:ilvl="4">
      <w:start w:val="1"/>
      <w:numFmt w:val="lowerLetter"/>
      <w:lvlText w:val="%5)"/>
      <w:lvlJc w:val="left"/>
      <w:pPr>
        <w:ind w:left="1931"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ACE0962"/>
    <w:multiLevelType w:val="multilevel"/>
    <w:tmpl w:val="D33E6EB0"/>
    <w:lvl w:ilvl="0">
      <w:start w:val="1"/>
      <w:numFmt w:val="decimal"/>
      <w:lvlText w:val="%1."/>
      <w:lvlJc w:val="left"/>
      <w:pPr>
        <w:tabs>
          <w:tab w:val="num" w:pos="360"/>
        </w:tabs>
        <w:ind w:left="360" w:hanging="360"/>
      </w:pPr>
      <w:rPr>
        <w:rFonts w:cs="Times New Roman"/>
        <w:b w:val="0"/>
      </w:rPr>
    </w:lvl>
    <w:lvl w:ilvl="1">
      <w:start w:val="1"/>
      <w:numFmt w:val="decimal"/>
      <w:isLgl/>
      <w:lvlText w:val="%1.%2"/>
      <w:lvlJc w:val="left"/>
      <w:pPr>
        <w:tabs>
          <w:tab w:val="num" w:pos="468"/>
        </w:tabs>
        <w:ind w:left="468" w:hanging="360"/>
      </w:pPr>
      <w:rPr>
        <w:rFonts w:cs="Times New Roman"/>
        <w:b/>
        <w:bCs/>
      </w:rPr>
    </w:lvl>
    <w:lvl w:ilvl="2">
      <w:start w:val="1"/>
      <w:numFmt w:val="decimal"/>
      <w:isLgl/>
      <w:lvlText w:val="%1.%2.%3"/>
      <w:lvlJc w:val="left"/>
      <w:pPr>
        <w:tabs>
          <w:tab w:val="num" w:pos="828"/>
        </w:tabs>
        <w:ind w:left="828" w:hanging="720"/>
      </w:pPr>
      <w:rPr>
        <w:rFonts w:cs="Times New Roman"/>
      </w:rPr>
    </w:lvl>
    <w:lvl w:ilvl="3">
      <w:start w:val="1"/>
      <w:numFmt w:val="decimal"/>
      <w:isLgl/>
      <w:lvlText w:val="%1.%2.%3.%4"/>
      <w:lvlJc w:val="left"/>
      <w:pPr>
        <w:tabs>
          <w:tab w:val="num" w:pos="828"/>
        </w:tabs>
        <w:ind w:left="828" w:hanging="720"/>
      </w:pPr>
      <w:rPr>
        <w:rFonts w:cs="Times New Roman"/>
      </w:rPr>
    </w:lvl>
    <w:lvl w:ilvl="4">
      <w:start w:val="1"/>
      <w:numFmt w:val="decimal"/>
      <w:isLgl/>
      <w:lvlText w:val="%1.%2.%3.%4.%5"/>
      <w:lvlJc w:val="left"/>
      <w:pPr>
        <w:tabs>
          <w:tab w:val="num" w:pos="1188"/>
        </w:tabs>
        <w:ind w:left="1188" w:hanging="1080"/>
      </w:pPr>
      <w:rPr>
        <w:rFonts w:cs="Times New Roman"/>
      </w:rPr>
    </w:lvl>
    <w:lvl w:ilvl="5">
      <w:start w:val="1"/>
      <w:numFmt w:val="decimal"/>
      <w:isLgl/>
      <w:lvlText w:val="%1.%2.%3.%4.%5.%6"/>
      <w:lvlJc w:val="left"/>
      <w:pPr>
        <w:tabs>
          <w:tab w:val="num" w:pos="1188"/>
        </w:tabs>
        <w:ind w:left="1188" w:hanging="1080"/>
      </w:pPr>
      <w:rPr>
        <w:rFonts w:cs="Times New Roman"/>
      </w:rPr>
    </w:lvl>
    <w:lvl w:ilvl="6">
      <w:start w:val="1"/>
      <w:numFmt w:val="decimal"/>
      <w:isLgl/>
      <w:lvlText w:val="%1.%2.%3.%4.%5.%6.%7"/>
      <w:lvlJc w:val="left"/>
      <w:pPr>
        <w:tabs>
          <w:tab w:val="num" w:pos="1548"/>
        </w:tabs>
        <w:ind w:left="1548" w:hanging="1440"/>
      </w:pPr>
      <w:rPr>
        <w:rFonts w:cs="Times New Roman"/>
      </w:rPr>
    </w:lvl>
    <w:lvl w:ilvl="7">
      <w:start w:val="1"/>
      <w:numFmt w:val="decimal"/>
      <w:isLgl/>
      <w:lvlText w:val="%1.%2.%3.%4.%5.%6.%7.%8"/>
      <w:lvlJc w:val="left"/>
      <w:pPr>
        <w:tabs>
          <w:tab w:val="num" w:pos="1548"/>
        </w:tabs>
        <w:ind w:left="1548" w:hanging="1440"/>
      </w:pPr>
      <w:rPr>
        <w:rFonts w:cs="Times New Roman"/>
      </w:rPr>
    </w:lvl>
    <w:lvl w:ilvl="8">
      <w:start w:val="1"/>
      <w:numFmt w:val="decimal"/>
      <w:isLgl/>
      <w:lvlText w:val="%1.%2.%3.%4.%5.%6.%7.%8.%9"/>
      <w:lvlJc w:val="left"/>
      <w:pPr>
        <w:tabs>
          <w:tab w:val="num" w:pos="1548"/>
        </w:tabs>
        <w:ind w:left="1548" w:hanging="1440"/>
      </w:pPr>
      <w:rPr>
        <w:rFonts w:cs="Times New Roman"/>
      </w:rPr>
    </w:lvl>
  </w:abstractNum>
  <w:abstractNum w:abstractNumId="4">
    <w:nsid w:val="1FDB565F"/>
    <w:multiLevelType w:val="hybridMultilevel"/>
    <w:tmpl w:val="703286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E7A32D6"/>
    <w:multiLevelType w:val="hybridMultilevel"/>
    <w:tmpl w:val="FB08ECF0"/>
    <w:lvl w:ilvl="0" w:tplc="041B0001">
      <w:start w:val="1"/>
      <w:numFmt w:val="bullet"/>
      <w:lvlText w:val=""/>
      <w:lvlJc w:val="left"/>
      <w:pPr>
        <w:ind w:left="108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
    <w:nsid w:val="41953F9B"/>
    <w:multiLevelType w:val="multilevel"/>
    <w:tmpl w:val="CCD6C35C"/>
    <w:lvl w:ilvl="0">
      <w:start w:val="7"/>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497B4988"/>
    <w:multiLevelType w:val="hybridMultilevel"/>
    <w:tmpl w:val="05CA7A34"/>
    <w:lvl w:ilvl="0" w:tplc="8CCCFD6A">
      <w:start w:val="1"/>
      <w:numFmt w:val="lowerLetter"/>
      <w:lvlText w:val="%1)"/>
      <w:lvlJc w:val="left"/>
      <w:pPr>
        <w:tabs>
          <w:tab w:val="num" w:pos="720"/>
        </w:tabs>
        <w:ind w:left="720" w:hanging="360"/>
      </w:pPr>
      <w:rPr>
        <w:rFonts w:cs="Times New Roman"/>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50D846D9"/>
    <w:multiLevelType w:val="multilevel"/>
    <w:tmpl w:val="FE524B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1E74DF3"/>
    <w:multiLevelType w:val="multilevel"/>
    <w:tmpl w:val="50949278"/>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Calibri" w:hAnsi="Times New Roman" w:cs="Times New Roman"/>
        <w:b/>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b w:val="0"/>
      </w:rPr>
    </w:lvl>
    <w:lvl w:ilvl="4">
      <w:start w:val="1"/>
      <w:numFmt w:val="lowerLetter"/>
      <w:lvlText w:val="%5)"/>
      <w:lvlJc w:val="left"/>
      <w:pPr>
        <w:ind w:left="1931" w:hanging="1080"/>
      </w:pPr>
      <w:rPr>
        <w:rFonts w:ascii="Times New Roman" w:eastAsia="Times New Roman" w:hAnsi="Times New Roman" w:cs="Times New Roman"/>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64AE3E33"/>
    <w:multiLevelType w:val="hybridMultilevel"/>
    <w:tmpl w:val="3D3696F8"/>
    <w:lvl w:ilvl="0" w:tplc="B8508D5A">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66E82F03"/>
    <w:multiLevelType w:val="hybridMultilevel"/>
    <w:tmpl w:val="2B826EAC"/>
    <w:lvl w:ilvl="0" w:tplc="26640E5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BB82DDA"/>
    <w:multiLevelType w:val="hybridMultilevel"/>
    <w:tmpl w:val="44A4A1DE"/>
    <w:lvl w:ilvl="0" w:tplc="624C82C6">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5545EF9"/>
    <w:multiLevelType w:val="hybridMultilevel"/>
    <w:tmpl w:val="6D0489A8"/>
    <w:lvl w:ilvl="0" w:tplc="041B0017">
      <w:start w:val="1"/>
      <w:numFmt w:val="lowerLetter"/>
      <w:lvlText w:val="%1)"/>
      <w:lvlJc w:val="left"/>
      <w:pPr>
        <w:ind w:left="720" w:hanging="360"/>
      </w:pPr>
      <w:rPr>
        <w:rFonts w:cs="Times New Roman"/>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nsid w:val="79090E6C"/>
    <w:multiLevelType w:val="multilevel"/>
    <w:tmpl w:val="75B8B430"/>
    <w:lvl w:ilvl="0">
      <w:start w:val="1"/>
      <w:numFmt w:val="decimal"/>
      <w:lvlText w:val="%1."/>
      <w:lvlJc w:val="left"/>
      <w:pPr>
        <w:ind w:left="720" w:hanging="360"/>
      </w:pPr>
    </w:lvl>
    <w:lvl w:ilvl="1">
      <w:start w:val="1"/>
      <w:numFmt w:val="decimal"/>
      <w:isLgl/>
      <w:lvlText w:val="%1.%2"/>
      <w:lvlJc w:val="left"/>
      <w:pPr>
        <w:ind w:left="644" w:hanging="360"/>
      </w:pPr>
      <w:rPr>
        <w:rFonts w:hint="default"/>
        <w:b w:val="0"/>
        <w:i w:val="0"/>
        <w:color w:val="000000"/>
      </w:rPr>
    </w:lvl>
    <w:lvl w:ilvl="2">
      <w:start w:val="1"/>
      <w:numFmt w:val="lowerLetter"/>
      <w:isLgl/>
      <w:lvlText w:val="%3)"/>
      <w:lvlJc w:val="left"/>
      <w:pPr>
        <w:ind w:left="1080" w:hanging="720"/>
      </w:pPr>
      <w:rPr>
        <w:rFonts w:ascii="Times New Roman" w:eastAsia="Calibri" w:hAnsi="Times New Roman" w:cs="Times New Roman"/>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5">
    <w:nsid w:val="7AE60ADA"/>
    <w:multiLevelType w:val="multilevel"/>
    <w:tmpl w:val="560A1F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8"/>
  </w:num>
  <w:num w:numId="18">
    <w:abstractNumId w:val="11"/>
  </w:num>
  <w:num w:numId="19">
    <w:abstractNumId w:val="4"/>
  </w:num>
  <w:num w:numId="20">
    <w:abstractNumId w:val="9"/>
  </w:num>
  <w:num w:numId="21">
    <w:abstractNumId w:val="2"/>
  </w:num>
  <w:num w:numId="22">
    <w:abstractNumId w:val="15"/>
  </w:num>
  <w:num w:numId="23">
    <w:abstractNumId w:val="1"/>
  </w:num>
  <w:num w:numId="24">
    <w:abstractNumId w:val="3"/>
  </w:num>
  <w:num w:numId="25">
    <w:abstractNumId w:val="10"/>
  </w:num>
  <w:num w:numId="26">
    <w:abstractNumId w:val="7"/>
  </w:num>
  <w:num w:numId="27">
    <w:abstractNumId w:val="13"/>
  </w:num>
  <w:num w:numId="28">
    <w:abstractNumId w:val="6"/>
  </w:num>
  <w:num w:numId="29">
    <w:abstractNumId w:val="5"/>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10CD2"/>
    <w:rsid w:val="0003514D"/>
    <w:rsid w:val="00053FC9"/>
    <w:rsid w:val="001A21E8"/>
    <w:rsid w:val="00254283"/>
    <w:rsid w:val="003712C5"/>
    <w:rsid w:val="00413BFF"/>
    <w:rsid w:val="00541B28"/>
    <w:rsid w:val="005972DD"/>
    <w:rsid w:val="005A4D17"/>
    <w:rsid w:val="00610CD2"/>
    <w:rsid w:val="00716BE1"/>
    <w:rsid w:val="007E6F70"/>
    <w:rsid w:val="008C272D"/>
    <w:rsid w:val="00B24AE8"/>
    <w:rsid w:val="00B3165C"/>
    <w:rsid w:val="00CA34E6"/>
    <w:rsid w:val="00D414E0"/>
    <w:rsid w:val="00DA76DB"/>
    <w:rsid w:val="00E42699"/>
    <w:rsid w:val="00F91897"/>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0CD2"/>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qFormat/>
    <w:rsid w:val="00610CD2"/>
    <w:pPr>
      <w:keepNext/>
      <w:keepLines/>
      <w:numPr>
        <w:numId w:val="1"/>
      </w:numPr>
      <w:shd w:val="clear" w:color="auto" w:fill="DBE5F1" w:themeFill="accent1" w:themeFillTint="33"/>
      <w:spacing w:before="240"/>
      <w:ind w:left="709"/>
      <w:outlineLvl w:val="0"/>
    </w:pPr>
    <w:rPr>
      <w:rFonts w:eastAsiaTheme="majorEastAsia" w:cstheme="majorBidi"/>
      <w:b/>
      <w:color w:val="365F91" w:themeColor="accent1" w:themeShade="BF"/>
      <w:sz w:val="24"/>
      <w:szCs w:val="32"/>
    </w:rPr>
  </w:style>
  <w:style w:type="paragraph" w:styleId="Nadpis2">
    <w:name w:val="heading 2"/>
    <w:basedOn w:val="Normlny"/>
    <w:next w:val="Normlny"/>
    <w:link w:val="Nadpis2Char"/>
    <w:unhideWhenUsed/>
    <w:qFormat/>
    <w:rsid w:val="00610CD2"/>
    <w:pPr>
      <w:keepNext/>
      <w:keepLines/>
      <w:numPr>
        <w:ilvl w:val="1"/>
        <w:numId w:val="1"/>
      </w:numPr>
      <w:tabs>
        <w:tab w:val="clear" w:pos="709"/>
      </w:tabs>
      <w:spacing w:before="120"/>
      <w:outlineLvl w:val="1"/>
    </w:pPr>
    <w:rPr>
      <w:rFonts w:eastAsiaTheme="majorEastAsia" w:cstheme="majorBidi"/>
      <w:b/>
      <w:color w:val="365F91"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rsid w:val="00610CD2"/>
    <w:rPr>
      <w:rFonts w:ascii="Times New Roman" w:eastAsiaTheme="majorEastAsia" w:hAnsi="Times New Roman" w:cstheme="majorBidi"/>
      <w:b/>
      <w:color w:val="365F91" w:themeColor="accent1" w:themeShade="BF"/>
      <w:sz w:val="24"/>
      <w:szCs w:val="32"/>
      <w:shd w:val="clear" w:color="auto" w:fill="DBE5F1" w:themeFill="accent1" w:themeFillTint="33"/>
    </w:rPr>
  </w:style>
  <w:style w:type="character" w:customStyle="1" w:styleId="Nadpis2Char">
    <w:name w:val="Nadpis 2 Char"/>
    <w:basedOn w:val="Predvolenpsmoodseku"/>
    <w:link w:val="Nadpis2"/>
    <w:rsid w:val="00610CD2"/>
    <w:rPr>
      <w:rFonts w:ascii="Times New Roman" w:eastAsiaTheme="majorEastAsia" w:hAnsi="Times New Roman" w:cstheme="majorBidi"/>
      <w:b/>
      <w:color w:val="365F91" w:themeColor="accent1" w:themeShade="BF"/>
      <w:sz w:val="24"/>
      <w:szCs w:val="26"/>
    </w:rPr>
  </w:style>
  <w:style w:type="table" w:styleId="Mriekatabuky">
    <w:name w:val="Table Grid"/>
    <w:basedOn w:val="Normlnatabuka"/>
    <w:uiPriority w:val="39"/>
    <w:rsid w:val="00610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islo-1-nadpis">
    <w:name w:val="Cislo-1-nadpis"/>
    <w:basedOn w:val="Normlny"/>
    <w:qFormat/>
    <w:rsid w:val="00610CD2"/>
    <w:pPr>
      <w:numPr>
        <w:ilvl w:val="2"/>
        <w:numId w:val="1"/>
      </w:numPr>
      <w:tabs>
        <w:tab w:val="clear" w:pos="709"/>
      </w:tabs>
      <w:spacing w:before="60"/>
      <w:jc w:val="both"/>
    </w:pPr>
    <w:rPr>
      <w:b/>
    </w:rPr>
  </w:style>
  <w:style w:type="paragraph" w:customStyle="1" w:styleId="Cislo-2-text">
    <w:name w:val="Cislo-2-text"/>
    <w:basedOn w:val="Cislo-1-nadpis"/>
    <w:qFormat/>
    <w:rsid w:val="00610CD2"/>
    <w:pPr>
      <w:numPr>
        <w:ilvl w:val="3"/>
      </w:numPr>
      <w:contextualSpacing/>
    </w:pPr>
    <w:rPr>
      <w:b w:val="0"/>
    </w:rPr>
  </w:style>
  <w:style w:type="paragraph" w:customStyle="1" w:styleId="Cislo-3-text">
    <w:name w:val="Cislo-3-text"/>
    <w:basedOn w:val="Cislo-2-text"/>
    <w:qFormat/>
    <w:rsid w:val="00610CD2"/>
    <w:pPr>
      <w:numPr>
        <w:ilvl w:val="4"/>
      </w:numPr>
    </w:pPr>
  </w:style>
  <w:style w:type="paragraph" w:customStyle="1" w:styleId="Cislo-4-a-text">
    <w:name w:val="Cislo-4-a-text"/>
    <w:basedOn w:val="Normlny"/>
    <w:qFormat/>
    <w:rsid w:val="00610CD2"/>
    <w:pPr>
      <w:numPr>
        <w:ilvl w:val="5"/>
        <w:numId w:val="1"/>
      </w:numPr>
      <w:tabs>
        <w:tab w:val="clear" w:pos="709"/>
        <w:tab w:val="clear" w:pos="1066"/>
      </w:tabs>
      <w:spacing w:before="60"/>
      <w:contextualSpacing/>
      <w:jc w:val="both"/>
    </w:pPr>
  </w:style>
  <w:style w:type="paragraph" w:styleId="Odsekzoznamu">
    <w:name w:val="List Paragraph"/>
    <w:basedOn w:val="Normlny"/>
    <w:link w:val="OdsekzoznamuChar"/>
    <w:uiPriority w:val="34"/>
    <w:qFormat/>
    <w:rsid w:val="00610CD2"/>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link w:val="Odsekzoznamu"/>
    <w:uiPriority w:val="34"/>
    <w:locked/>
    <w:rsid w:val="00610CD2"/>
  </w:style>
  <w:style w:type="paragraph" w:styleId="Nzov">
    <w:name w:val="Title"/>
    <w:basedOn w:val="Normlny"/>
    <w:link w:val="NzovChar"/>
    <w:qFormat/>
    <w:rsid w:val="00610CD2"/>
    <w:pPr>
      <w:tabs>
        <w:tab w:val="clear" w:pos="709"/>
        <w:tab w:val="clear" w:pos="1066"/>
        <w:tab w:val="clear" w:pos="1423"/>
        <w:tab w:val="clear" w:pos="1780"/>
        <w:tab w:val="clear" w:pos="2138"/>
        <w:tab w:val="clear" w:pos="2495"/>
        <w:tab w:val="clear" w:pos="2852"/>
      </w:tabs>
      <w:jc w:val="center"/>
    </w:pPr>
    <w:rPr>
      <w:rFonts w:eastAsia="Times New Roman" w:cs="Times New Roman"/>
      <w:b/>
      <w:bCs/>
      <w:sz w:val="32"/>
      <w:szCs w:val="24"/>
      <w:u w:val="single"/>
      <w:lang w:eastAsia="sk-SK"/>
    </w:rPr>
  </w:style>
  <w:style w:type="character" w:customStyle="1" w:styleId="NzovChar">
    <w:name w:val="Názov Char"/>
    <w:basedOn w:val="Predvolenpsmoodseku"/>
    <w:link w:val="Nzov"/>
    <w:rsid w:val="00610CD2"/>
    <w:rPr>
      <w:rFonts w:ascii="Times New Roman" w:eastAsia="Times New Roman" w:hAnsi="Times New Roman" w:cs="Times New Roman"/>
      <w:b/>
      <w:bCs/>
      <w:sz w:val="32"/>
      <w:szCs w:val="24"/>
      <w:u w:val="single"/>
      <w:lang w:eastAsia="sk-SK"/>
    </w:rPr>
  </w:style>
  <w:style w:type="paragraph" w:styleId="Zkladntext">
    <w:name w:val="Body Text"/>
    <w:basedOn w:val="Normlny"/>
    <w:link w:val="ZkladntextChar"/>
    <w:qFormat/>
    <w:rsid w:val="00610CD2"/>
    <w:pPr>
      <w:tabs>
        <w:tab w:val="clear" w:pos="709"/>
        <w:tab w:val="clear" w:pos="1066"/>
        <w:tab w:val="clear" w:pos="1423"/>
        <w:tab w:val="clear" w:pos="1780"/>
        <w:tab w:val="clear" w:pos="2138"/>
        <w:tab w:val="clear" w:pos="2495"/>
        <w:tab w:val="clear" w:pos="2852"/>
      </w:tabs>
      <w:spacing w:after="120"/>
    </w:pPr>
    <w:rPr>
      <w:rFonts w:eastAsia="Times New Roman" w:cs="Times New Roman"/>
      <w:sz w:val="24"/>
      <w:szCs w:val="24"/>
      <w:lang w:eastAsia="sk-SK"/>
    </w:rPr>
  </w:style>
  <w:style w:type="character" w:customStyle="1" w:styleId="ZkladntextChar">
    <w:name w:val="Základný text Char"/>
    <w:basedOn w:val="Predvolenpsmoodseku"/>
    <w:link w:val="Zkladntext"/>
    <w:rsid w:val="00610CD2"/>
    <w:rPr>
      <w:rFonts w:ascii="Times New Roman" w:eastAsia="Times New Roman" w:hAnsi="Times New Roman" w:cs="Times New Roman"/>
      <w:sz w:val="24"/>
      <w:szCs w:val="24"/>
      <w:lang w:eastAsia="sk-SK"/>
    </w:rPr>
  </w:style>
  <w:style w:type="paragraph" w:styleId="Zkladntext2">
    <w:name w:val="Body Text 2"/>
    <w:basedOn w:val="Normlny"/>
    <w:link w:val="Zkladntext2Char"/>
    <w:rsid w:val="00610CD2"/>
    <w:pPr>
      <w:tabs>
        <w:tab w:val="clear" w:pos="709"/>
        <w:tab w:val="clear" w:pos="1066"/>
        <w:tab w:val="clear" w:pos="1423"/>
        <w:tab w:val="clear" w:pos="1780"/>
        <w:tab w:val="clear" w:pos="2138"/>
        <w:tab w:val="clear" w:pos="2495"/>
        <w:tab w:val="clear" w:pos="2852"/>
      </w:tabs>
    </w:pPr>
    <w:rPr>
      <w:rFonts w:eastAsia="Times New Roman" w:cs="Times New Roman"/>
      <w:color w:val="3366FF"/>
      <w:sz w:val="24"/>
      <w:szCs w:val="24"/>
      <w:lang w:eastAsia="sk-SK"/>
    </w:rPr>
  </w:style>
  <w:style w:type="character" w:customStyle="1" w:styleId="Zkladntext2Char">
    <w:name w:val="Základný text 2 Char"/>
    <w:basedOn w:val="Predvolenpsmoodseku"/>
    <w:link w:val="Zkladntext2"/>
    <w:rsid w:val="00610CD2"/>
    <w:rPr>
      <w:rFonts w:ascii="Times New Roman" w:eastAsia="Times New Roman" w:hAnsi="Times New Roman" w:cs="Times New Roman"/>
      <w:color w:val="3366FF"/>
      <w:sz w:val="24"/>
      <w:szCs w:val="24"/>
      <w:lang w:eastAsia="sk-SK"/>
    </w:rPr>
  </w:style>
  <w:style w:type="paragraph" w:customStyle="1" w:styleId="milos">
    <w:name w:val="milos"/>
    <w:basedOn w:val="Normlny"/>
    <w:rsid w:val="00610CD2"/>
    <w:pPr>
      <w:widowControl w:val="0"/>
      <w:tabs>
        <w:tab w:val="clear" w:pos="709"/>
        <w:tab w:val="clear" w:pos="1066"/>
        <w:tab w:val="clear" w:pos="1423"/>
        <w:tab w:val="clear" w:pos="1780"/>
        <w:tab w:val="clear" w:pos="2138"/>
        <w:tab w:val="clear" w:pos="2495"/>
        <w:tab w:val="clear" w:pos="2852"/>
        <w:tab w:val="left" w:pos="567"/>
      </w:tabs>
      <w:ind w:left="567"/>
    </w:pPr>
    <w:rPr>
      <w:rFonts w:ascii="EEL1 Aval" w:eastAsia="Times New Roman" w:hAnsi="EEL1 Aval" w:cs="Times New Roman"/>
      <w:sz w:val="24"/>
      <w:szCs w:val="24"/>
      <w:lang w:val="de-DE" w:eastAsia="sk-SK"/>
    </w:rPr>
  </w:style>
  <w:style w:type="paragraph" w:customStyle="1" w:styleId="Nadpis11">
    <w:name w:val="Nadpis 11"/>
    <w:basedOn w:val="Normlny"/>
    <w:uiPriority w:val="1"/>
    <w:qFormat/>
    <w:rsid w:val="00610CD2"/>
    <w:pPr>
      <w:widowControl w:val="0"/>
      <w:tabs>
        <w:tab w:val="clear" w:pos="709"/>
        <w:tab w:val="clear" w:pos="1066"/>
        <w:tab w:val="clear" w:pos="1423"/>
        <w:tab w:val="clear" w:pos="1780"/>
        <w:tab w:val="clear" w:pos="2138"/>
        <w:tab w:val="clear" w:pos="2495"/>
        <w:tab w:val="clear" w:pos="2852"/>
      </w:tabs>
      <w:autoSpaceDE w:val="0"/>
      <w:autoSpaceDN w:val="0"/>
      <w:adjustRightInd w:val="0"/>
      <w:ind w:left="546"/>
      <w:outlineLvl w:val="0"/>
    </w:pPr>
    <w:rPr>
      <w:rFonts w:eastAsiaTheme="minorEastAsia" w:cs="Times New Roman"/>
      <w:b/>
      <w:bCs/>
      <w:sz w:val="24"/>
      <w:szCs w:val="24"/>
      <w:lang w:eastAsia="sk-SK"/>
    </w:rPr>
  </w:style>
  <w:style w:type="paragraph" w:styleId="Textbubliny">
    <w:name w:val="Balloon Text"/>
    <w:basedOn w:val="Normlny"/>
    <w:link w:val="TextbublinyChar"/>
    <w:uiPriority w:val="99"/>
    <w:semiHidden/>
    <w:unhideWhenUsed/>
    <w:rsid w:val="00610CD2"/>
    <w:rPr>
      <w:rFonts w:ascii="Tahoma" w:hAnsi="Tahoma" w:cs="Tahoma"/>
      <w:sz w:val="16"/>
      <w:szCs w:val="16"/>
    </w:rPr>
  </w:style>
  <w:style w:type="character" w:customStyle="1" w:styleId="TextbublinyChar">
    <w:name w:val="Text bubliny Char"/>
    <w:basedOn w:val="Predvolenpsmoodseku"/>
    <w:link w:val="Textbubliny"/>
    <w:uiPriority w:val="99"/>
    <w:semiHidden/>
    <w:rsid w:val="00610CD2"/>
    <w:rPr>
      <w:rFonts w:ascii="Tahoma" w:hAnsi="Tahoma" w:cs="Tahoma"/>
      <w:sz w:val="16"/>
      <w:szCs w:val="16"/>
    </w:rPr>
  </w:style>
  <w:style w:type="character" w:styleId="Odkaznakomentr">
    <w:name w:val="annotation reference"/>
    <w:unhideWhenUsed/>
    <w:rsid w:val="0003514D"/>
    <w:rPr>
      <w:sz w:val="16"/>
      <w:szCs w:val="16"/>
    </w:rPr>
  </w:style>
  <w:style w:type="paragraph" w:styleId="Textkomentra">
    <w:name w:val="annotation text"/>
    <w:basedOn w:val="Normlny"/>
    <w:link w:val="TextkomentraChar"/>
    <w:uiPriority w:val="99"/>
    <w:unhideWhenUsed/>
    <w:rsid w:val="0003514D"/>
    <w:pPr>
      <w:tabs>
        <w:tab w:val="clear" w:pos="709"/>
        <w:tab w:val="clear" w:pos="1066"/>
        <w:tab w:val="clear" w:pos="1423"/>
        <w:tab w:val="clear" w:pos="1780"/>
        <w:tab w:val="clear" w:pos="2138"/>
        <w:tab w:val="clear" w:pos="2495"/>
        <w:tab w:val="clear" w:pos="2852"/>
      </w:tabs>
    </w:pPr>
    <w:rPr>
      <w:rFonts w:eastAsia="Times New Roman" w:cs="Times New Roman"/>
      <w:sz w:val="20"/>
      <w:szCs w:val="20"/>
      <w:lang w:eastAsia="sk-SK"/>
    </w:rPr>
  </w:style>
  <w:style w:type="character" w:customStyle="1" w:styleId="TextkomentraChar">
    <w:name w:val="Text komentára Char"/>
    <w:basedOn w:val="Predvolenpsmoodseku"/>
    <w:link w:val="Textkomentra"/>
    <w:uiPriority w:val="99"/>
    <w:rsid w:val="0003514D"/>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24AE8"/>
    <w:pPr>
      <w:tabs>
        <w:tab w:val="left" w:pos="709"/>
        <w:tab w:val="left" w:pos="1066"/>
        <w:tab w:val="left" w:pos="1423"/>
        <w:tab w:val="left" w:pos="1780"/>
        <w:tab w:val="left" w:pos="2138"/>
        <w:tab w:val="left" w:pos="2495"/>
        <w:tab w:val="left" w:pos="2852"/>
      </w:tabs>
    </w:pPr>
    <w:rPr>
      <w:rFonts w:eastAsiaTheme="minorHAnsi" w:cstheme="minorBidi"/>
      <w:b/>
      <w:bCs/>
      <w:lang w:eastAsia="en-US"/>
    </w:rPr>
  </w:style>
  <w:style w:type="character" w:customStyle="1" w:styleId="PredmetkomentraChar">
    <w:name w:val="Predmet komentára Char"/>
    <w:basedOn w:val="TextkomentraChar"/>
    <w:link w:val="Predmetkomentra"/>
    <w:uiPriority w:val="99"/>
    <w:semiHidden/>
    <w:rsid w:val="00B24AE8"/>
    <w:rPr>
      <w:rFonts w:ascii="Times New Roman" w:eastAsia="Times New Roman" w:hAnsi="Times New Roman" w:cs="Times New Roman"/>
      <w:b/>
      <w:bCs/>
      <w:sz w:val="20"/>
      <w:szCs w:val="20"/>
      <w:lang w:eastAsia="sk-SK"/>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12</Pages>
  <Words>3950</Words>
  <Characters>22516</Characters>
  <Application>Microsoft Office Word</Application>
  <DocSecurity>0</DocSecurity>
  <Lines>187</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palenikovas</dc:creator>
  <cp:lastModifiedBy>palenikovas</cp:lastModifiedBy>
  <cp:revision>13</cp:revision>
  <dcterms:created xsi:type="dcterms:W3CDTF">2018-10-12T08:30:00Z</dcterms:created>
  <dcterms:modified xsi:type="dcterms:W3CDTF">2018-10-31T09:34:00Z</dcterms:modified>
</cp:coreProperties>
</file>